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76" w:before="57" w:after="57"/>
        <w:ind w:hanging="0" w:left="0" w:right="0"/>
        <w:jc w:val="center"/>
        <w:rPr>
          <w:rFonts w:ascii="Verdana" w:hAnsi="Verdana"/>
          <w:sz w:val="20"/>
          <w:szCs w:val="20"/>
        </w:rPr>
      </w:pPr>
      <w:r>
        <w:rPr>
          <w:rFonts w:ascii="Verdana" w:hAnsi="Verdana"/>
          <w:b/>
          <w:bCs/>
          <w:color w:val="000000"/>
          <w:sz w:val="20"/>
          <w:szCs w:val="20"/>
        </w:rPr>
        <w:t>A</w:t>
      </w:r>
      <w:r>
        <w:rPr>
          <w:rFonts w:ascii="Verdana" w:hAnsi="Verdana"/>
          <w:b/>
          <w:bCs/>
          <w:color w:val="000000"/>
          <w:sz w:val="20"/>
          <w:szCs w:val="20"/>
        </w:rPr>
        <w:t>NEXO I</w:t>
      </w:r>
    </w:p>
    <w:p>
      <w:pPr>
        <w:pStyle w:val="Normal"/>
        <w:suppressAutoHyphens w:val="false"/>
        <w:spacing w:lineRule="auto" w:line="276" w:before="57" w:after="57"/>
        <w:ind w:hanging="0" w:left="0" w:right="0"/>
        <w:jc w:val="center"/>
        <w:rPr>
          <w:b/>
          <w:bCs/>
          <w:color w:val="000000"/>
        </w:rPr>
      </w:pPr>
      <w:r>
        <w:rPr>
          <w:rFonts w:ascii="Verdana" w:hAnsi="Verdana"/>
          <w:sz w:val="20"/>
          <w:szCs w:val="20"/>
        </w:rPr>
      </w:r>
    </w:p>
    <w:p>
      <w:pPr>
        <w:pStyle w:val="Normal"/>
        <w:suppressAutoHyphens w:val="false"/>
        <w:spacing w:lineRule="auto" w:line="276" w:before="57" w:after="57"/>
        <w:ind w:hanging="0" w:left="0" w:right="0"/>
        <w:jc w:val="center"/>
        <w:rPr>
          <w:rFonts w:ascii="Verdana" w:hAnsi="Verdana"/>
          <w:sz w:val="20"/>
          <w:szCs w:val="20"/>
        </w:rPr>
      </w:pPr>
      <w:r>
        <w:rPr>
          <w:rFonts w:ascii="Verdana" w:hAnsi="Verdana"/>
          <w:b/>
          <w:bCs/>
          <w:color w:val="000000"/>
          <w:sz w:val="20"/>
          <w:szCs w:val="20"/>
        </w:rPr>
        <w:t>TERMO DE REFERÊNCIA  - LEI 14.133/21</w:t>
      </w:r>
    </w:p>
    <w:p>
      <w:pPr>
        <w:pStyle w:val="Normal"/>
        <w:suppressAutoHyphens w:val="false"/>
        <w:spacing w:lineRule="auto" w:line="276" w:before="57" w:after="57"/>
        <w:ind w:hanging="0" w:left="0" w:right="0"/>
        <w:jc w:val="center"/>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right="0"/>
        <w:jc w:val="center"/>
        <w:rPr>
          <w:rFonts w:ascii="Verdana" w:hAnsi="Verdana"/>
          <w:sz w:val="20"/>
          <w:szCs w:val="20"/>
        </w:rPr>
      </w:pPr>
      <w:r>
        <w:rPr>
          <w:rFonts w:eastAsia="Times New Roman" w:cs="Times New Roman" w:ascii="Verdana" w:hAnsi="Verdana"/>
          <w:b/>
          <w:bCs/>
          <w:iCs/>
          <w:color w:val="000000"/>
          <w:sz w:val="20"/>
          <w:szCs w:val="20"/>
        </w:rPr>
        <w:t>AQUISIÇÃO DE GÊNEROS ALIMENTÍCIOS PARA AS ESCOLAS MUNICIPAIS NO EXERCÍCIO DE 2024</w:t>
      </w:r>
    </w:p>
    <w:p>
      <w:pPr>
        <w:pStyle w:val="Normal"/>
        <w:spacing w:lineRule="auto" w:line="276" w:before="57" w:after="57"/>
        <w:ind w:hanging="0" w:left="0" w:right="0"/>
        <w:jc w:val="center"/>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right="0"/>
        <w:jc w:val="center"/>
        <w:rPr>
          <w:rFonts w:ascii="Verdana" w:hAnsi="Verdana"/>
          <w:sz w:val="20"/>
          <w:szCs w:val="20"/>
        </w:rPr>
      </w:pPr>
      <w:r>
        <w:rPr>
          <w:rFonts w:cs="Arial" w:ascii="Verdana" w:hAnsi="Verdana"/>
          <w:b/>
          <w:bCs/>
          <w:i w:val="false"/>
          <w:iCs w:val="false"/>
          <w:color w:val="000000"/>
          <w:sz w:val="20"/>
          <w:szCs w:val="20"/>
        </w:rPr>
        <w:t xml:space="preserve">Processo Administrativo nº </w:t>
      </w:r>
      <w:r>
        <w:rPr>
          <w:rFonts w:eastAsia="Times New Roman" w:cs="Times New Roman" w:ascii="Verdana" w:hAnsi="Verdana"/>
          <w:b/>
          <w:bCs/>
          <w:i w:val="false"/>
          <w:iCs w:val="false"/>
          <w:color w:val="000000"/>
          <w:sz w:val="20"/>
          <w:szCs w:val="20"/>
        </w:rPr>
        <w:t>006911/</w:t>
      </w:r>
      <w:r>
        <w:rPr>
          <w:rFonts w:cs="Arial" w:ascii="Verdana" w:hAnsi="Verdana"/>
          <w:b/>
          <w:bCs/>
          <w:i w:val="false"/>
          <w:iCs w:val="false"/>
          <w:color w:val="000000"/>
          <w:sz w:val="20"/>
          <w:szCs w:val="20"/>
        </w:rPr>
        <w:t xml:space="preserve">2024 de 18 de </w:t>
      </w:r>
      <w:r>
        <w:rPr>
          <w:rFonts w:eastAsia="Times New Roman" w:cs="Arial" w:ascii="Verdana" w:hAnsi="Verdana"/>
          <w:b/>
          <w:bCs/>
          <w:i w:val="false"/>
          <w:iCs w:val="false"/>
          <w:color w:val="000000"/>
          <w:kern w:val="0"/>
          <w:sz w:val="20"/>
          <w:szCs w:val="20"/>
          <w:lang w:val="pt-BR" w:eastAsia="pt-BR" w:bidi="ar-SA"/>
        </w:rPr>
        <w:t>setembro</w:t>
      </w:r>
      <w:r>
        <w:rPr>
          <w:rFonts w:cs="Arial" w:ascii="Verdana" w:hAnsi="Verdana"/>
          <w:b/>
          <w:bCs/>
          <w:i w:val="false"/>
          <w:iCs w:val="false"/>
          <w:color w:val="000000"/>
          <w:sz w:val="20"/>
          <w:szCs w:val="20"/>
        </w:rPr>
        <w:t xml:space="preserve"> de 2024 (Secretaria Municipal de </w:t>
      </w:r>
      <w:r>
        <w:rPr>
          <w:rFonts w:eastAsia="Times New Roman" w:cs="Arial" w:ascii="Verdana" w:hAnsi="Verdana"/>
          <w:b/>
          <w:bCs/>
          <w:i w:val="false"/>
          <w:iCs w:val="false"/>
          <w:color w:val="000000"/>
          <w:sz w:val="20"/>
          <w:szCs w:val="20"/>
        </w:rPr>
        <w:t>Educação</w:t>
      </w:r>
      <w:r>
        <w:rPr>
          <w:rFonts w:cs="Arial" w:ascii="Verdana" w:hAnsi="Verdana"/>
          <w:b/>
          <w:bCs/>
          <w:i w:val="false"/>
          <w:iCs w:val="false"/>
          <w:color w:val="000000"/>
          <w:sz w:val="20"/>
          <w:szCs w:val="20"/>
        </w:rPr>
        <w:t>)</w:t>
      </w:r>
    </w:p>
    <w:p>
      <w:pPr>
        <w:pStyle w:val="Normal"/>
        <w:spacing w:lineRule="auto" w:line="276" w:before="57" w:after="57"/>
        <w:ind w:hanging="0" w:left="0" w:right="0"/>
        <w:jc w:val="center"/>
        <w:rPr>
          <w:rFonts w:ascii="Verdana" w:hAnsi="Verdana" w:cs="Arial"/>
          <w:b/>
          <w:sz w:val="20"/>
          <w:szCs w:val="20"/>
          <w:u w:val="single"/>
        </w:rPr>
      </w:pPr>
      <w:r>
        <w:rPr>
          <w:rFonts w:cs="Arial" w:ascii="Verdana" w:hAnsi="Verdana"/>
          <w:b/>
          <w:sz w:val="20"/>
          <w:szCs w:val="20"/>
          <w:u w:val="single"/>
        </w:rPr>
      </w:r>
    </w:p>
    <w:p>
      <w:pPr>
        <w:pStyle w:val="Nivel1"/>
        <w:spacing w:lineRule="auto" w:line="276" w:before="57" w:after="57"/>
        <w:ind w:hanging="0" w:left="0" w:right="0"/>
        <w:rPr>
          <w:rFonts w:ascii="Verdana" w:hAnsi="Verdana"/>
          <w:sz w:val="20"/>
          <w:szCs w:val="20"/>
        </w:rPr>
      </w:pPr>
      <w:r>
        <w:rPr>
          <w:rFonts w:cs="Times New Roman" w:ascii="Verdana" w:hAnsi="Verdana"/>
          <w:bCs/>
          <w:sz w:val="20"/>
          <w:szCs w:val="20"/>
        </w:rPr>
        <w:t>1. DAS CONDIÇÕES GERAIS DA CONTRATAÇÃO</w:t>
      </w:r>
    </w:p>
    <w:p>
      <w:pPr>
        <w:pStyle w:val="Normal"/>
        <w:tabs>
          <w:tab w:val="clear" w:pos="708"/>
          <w:tab w:val="left" w:pos="50" w:leader="none"/>
          <w:tab w:val="left" w:pos="150" w:leader="none"/>
        </w:tabs>
        <w:spacing w:lineRule="auto" w:line="276" w:before="57" w:after="57"/>
        <w:ind w:hanging="0" w:left="0" w:right="0"/>
        <w:jc w:val="both"/>
        <w:rPr>
          <w:rFonts w:ascii="Verdana" w:hAnsi="Verdana"/>
          <w:sz w:val="20"/>
          <w:szCs w:val="20"/>
        </w:rPr>
      </w:pPr>
      <w:r>
        <w:rPr>
          <w:rFonts w:eastAsia="Times New Roman" w:cs="Arial" w:ascii="Verdana" w:hAnsi="Verdana"/>
          <w:iCs/>
          <w:color w:val="000000"/>
          <w:sz w:val="20"/>
          <w:szCs w:val="20"/>
        </w:rPr>
        <w:t xml:space="preserve">1.1. Constitui objeto do presente Termo de Referência, a aquisição </w:t>
      </w:r>
      <w:r>
        <w:rPr>
          <w:rFonts w:eastAsia="Times New Roman" w:cs="Arial" w:ascii="Verdana" w:hAnsi="Verdana"/>
          <w:b/>
          <w:iCs/>
          <w:color w:val="000000"/>
          <w:sz w:val="20"/>
          <w:szCs w:val="20"/>
        </w:rPr>
        <w:t xml:space="preserve">por meio de pregão eletrônico, </w:t>
      </w:r>
      <w:r>
        <w:rPr>
          <w:rFonts w:eastAsia="Times New Roman" w:cs="Arial" w:ascii="Verdana" w:hAnsi="Verdana"/>
          <w:iCs/>
          <w:color w:val="000000"/>
          <w:sz w:val="20"/>
          <w:szCs w:val="20"/>
        </w:rPr>
        <w:t>de gêneros alimentícios em atendimento ao Programa Nacional de Alimentação Escolar – PNAE, devidamente relacionados e especificados na solicitação de compras nº 143/2024 e cronogramas em anexo no Estudo Técnico Preliminar e neste Termo de Referência, nos autos que já são partes integrantes desse processo.</w:t>
      </w:r>
    </w:p>
    <w:p>
      <w:pPr>
        <w:pStyle w:val="Normal"/>
        <w:tabs>
          <w:tab w:val="clear" w:pos="708"/>
          <w:tab w:val="left" w:pos="50" w:leader="none"/>
          <w:tab w:val="left" w:pos="150" w:leader="none"/>
        </w:tabs>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p>
    <w:tbl>
      <w:tblPr>
        <w:tblW w:w="9488" w:type="dxa"/>
        <w:jc w:val="left"/>
        <w:tblInd w:w="56" w:type="dxa"/>
        <w:tblLayout w:type="fixed"/>
        <w:tblCellMar>
          <w:top w:w="0" w:type="dxa"/>
          <w:left w:w="70" w:type="dxa"/>
          <w:bottom w:w="0" w:type="dxa"/>
          <w:right w:w="70" w:type="dxa"/>
        </w:tblCellMar>
      </w:tblPr>
      <w:tblGrid>
        <w:gridCol w:w="718"/>
        <w:gridCol w:w="4250"/>
        <w:gridCol w:w="1351"/>
        <w:gridCol w:w="1406"/>
        <w:gridCol w:w="1763"/>
      </w:tblGrid>
      <w:tr>
        <w:trPr>
          <w:trHeight w:val="733" w:hRule="atLeast"/>
        </w:trPr>
        <w:tc>
          <w:tcPr>
            <w:tcW w:w="7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cs="Arial" w:ascii="Verdana" w:hAnsi="Verdana"/>
                <w:b/>
                <w:sz w:val="20"/>
                <w:szCs w:val="20"/>
              </w:rPr>
              <w:t>Item</w:t>
            </w:r>
          </w:p>
        </w:tc>
        <w:tc>
          <w:tcPr>
            <w:tcW w:w="42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b/>
                <w:bCs/>
                <w:sz w:val="20"/>
                <w:szCs w:val="20"/>
              </w:rPr>
              <w:t>Gêneros</w:t>
            </w:r>
          </w:p>
        </w:tc>
        <w:tc>
          <w:tcPr>
            <w:tcW w:w="13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eastAsia="Times New Roman" w:cs="Arial" w:ascii="Verdana" w:hAnsi="Verdana"/>
                <w:b/>
                <w:bCs/>
                <w:sz w:val="20"/>
                <w:szCs w:val="20"/>
              </w:rPr>
              <w:t>Quant.</w:t>
            </w:r>
          </w:p>
        </w:tc>
        <w:tc>
          <w:tcPr>
            <w:tcW w:w="14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b/>
                <w:bCs/>
                <w:sz w:val="20"/>
                <w:szCs w:val="20"/>
              </w:rPr>
              <w:t>Valor Médio</w:t>
            </w:r>
          </w:p>
        </w:tc>
        <w:tc>
          <w:tcPr>
            <w:tcW w:w="1763" w:type="dxa"/>
            <w:tcBorders>
              <w:top w:val="single" w:sz="4" w:space="0" w:color="000000"/>
              <w:left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b/>
                <w:sz w:val="20"/>
                <w:szCs w:val="20"/>
              </w:rPr>
              <w:t>Total R$</w:t>
            </w:r>
          </w:p>
        </w:tc>
      </w:tr>
      <w:tr>
        <w:trPr>
          <w:trHeight w:val="269" w:hRule="atLeast"/>
        </w:trPr>
        <w:tc>
          <w:tcPr>
            <w:tcW w:w="718"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sz w:val="20"/>
                <w:szCs w:val="20"/>
              </w:rPr>
              <w:t>01</w:t>
            </w:r>
          </w:p>
        </w:tc>
        <w:tc>
          <w:tcPr>
            <w:tcW w:w="425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both"/>
              <w:rPr>
                <w:rFonts w:ascii="Verdana" w:hAnsi="Verdana"/>
                <w:sz w:val="20"/>
                <w:szCs w:val="20"/>
              </w:rPr>
            </w:pPr>
            <w:r>
              <w:rPr>
                <w:rFonts w:cs="Arial" w:ascii="Verdana" w:hAnsi="Verdana"/>
                <w:b/>
                <w:bCs/>
                <w:color w:val="000000"/>
                <w:sz w:val="20"/>
                <w:szCs w:val="20"/>
              </w:rPr>
              <w:t>Batata Inglesa</w:t>
            </w:r>
            <w:r>
              <w:rPr>
                <w:rFonts w:cs="Arial" w:ascii="Verdana" w:hAnsi="Verdana"/>
                <w:color w:val="000000"/>
                <w:sz w:val="20"/>
                <w:szCs w:val="20"/>
              </w:rPr>
              <w:t xml:space="preserve"> variedade: inglesa; cor da casca: amarela-clara; cor da polpa: amarela-clara; maturação: semiprecoce a semitardia; lavada; tamanho médio a grande; de 1ª qualidade; características físicas: coloração uniforme, firme e intacto; higiênico sanitárias: isentos de sujidades, parasitas e larvas; danificação: sem danos físicos oriundos do manuseio e transporte; legislação: conforme</w:t>
            </w:r>
          </w:p>
          <w:p>
            <w:pPr>
              <w:pStyle w:val="Normal"/>
              <w:widowControl w:val="false"/>
              <w:tabs>
                <w:tab w:val="clear" w:pos="708"/>
              </w:tabs>
              <w:spacing w:lineRule="auto" w:line="276" w:before="57" w:after="57"/>
              <w:ind w:hanging="0" w:left="0" w:right="0"/>
              <w:jc w:val="both"/>
              <w:rPr>
                <w:rFonts w:ascii="Verdana" w:hAnsi="Verdana"/>
                <w:sz w:val="20"/>
                <w:szCs w:val="20"/>
              </w:rPr>
            </w:pPr>
            <w:r>
              <w:rPr>
                <w:rFonts w:cs="Arial" w:ascii="Verdana" w:hAnsi="Verdana"/>
                <w:color w:val="000000"/>
                <w:sz w:val="20"/>
                <w:szCs w:val="20"/>
              </w:rPr>
              <w:t xml:space="preserve">resolução rdc 272, de 22/09/2005, da anvisa e suas alterações posteriores; acondicionamento: saco vazado; </w:t>
            </w:r>
            <w:r>
              <w:rPr>
                <w:rFonts w:cs="Arial" w:ascii="Verdana" w:hAnsi="Verdana"/>
                <w:b/>
                <w:bCs/>
                <w:color w:val="000000"/>
                <w:sz w:val="20"/>
                <w:szCs w:val="20"/>
              </w:rPr>
              <w:t>unidade de fornecimento:  até 4kg</w:t>
            </w:r>
          </w:p>
        </w:tc>
        <w:tc>
          <w:tcPr>
            <w:tcW w:w="135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sz w:val="20"/>
                <w:szCs w:val="20"/>
              </w:rPr>
              <w:t>1.230 kg</w:t>
            </w:r>
          </w:p>
        </w:tc>
        <w:tc>
          <w:tcPr>
            <w:tcW w:w="140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eastAsia="Times New Roman" w:cs="Arial" w:ascii="Verdana" w:hAnsi="Verdana"/>
                <w:color w:val="auto"/>
                <w:kern w:val="0"/>
                <w:sz w:val="20"/>
                <w:szCs w:val="20"/>
                <w:lang w:val="pt-BR" w:eastAsia="pt-BR" w:bidi="ar-SA"/>
              </w:rPr>
              <w:t>R$ 6,95</w:t>
            </w:r>
          </w:p>
        </w:tc>
        <w:tc>
          <w:tcPr>
            <w:tcW w:w="1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eastAsia="Times New Roman" w:cs="Arial" w:ascii="Verdana" w:hAnsi="Verdana"/>
                <w:color w:val="auto"/>
                <w:kern w:val="0"/>
                <w:sz w:val="20"/>
                <w:szCs w:val="20"/>
                <w:lang w:val="pt-BR" w:eastAsia="pt-BR" w:bidi="ar-SA"/>
              </w:rPr>
              <w:t>R$ 8.548,50</w:t>
            </w:r>
          </w:p>
        </w:tc>
      </w:tr>
      <w:tr>
        <w:trPr>
          <w:trHeight w:val="269" w:hRule="atLeast"/>
        </w:trPr>
        <w:tc>
          <w:tcPr>
            <w:tcW w:w="718"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sz w:val="20"/>
                <w:szCs w:val="20"/>
              </w:rPr>
              <w:t>02</w:t>
            </w:r>
          </w:p>
        </w:tc>
        <w:tc>
          <w:tcPr>
            <w:tcW w:w="425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both"/>
              <w:rPr>
                <w:rFonts w:ascii="Verdana" w:hAnsi="Verdana"/>
                <w:sz w:val="20"/>
                <w:szCs w:val="20"/>
              </w:rPr>
            </w:pPr>
            <w:r>
              <w:rPr>
                <w:rFonts w:cs="Arial" w:ascii="Verdana" w:hAnsi="Verdana"/>
                <w:b/>
                <w:bCs/>
                <w:color w:val="000000"/>
                <w:sz w:val="20"/>
                <w:szCs w:val="20"/>
              </w:rPr>
              <w:t>Filé de peito de frango</w:t>
            </w:r>
            <w:r>
              <w:rPr>
                <w:rFonts w:cs="Arial" w:ascii="Verdana" w:hAnsi="Verdana"/>
                <w:color w:val="000000"/>
                <w:sz w:val="20"/>
                <w:szCs w:val="20"/>
              </w:rPr>
              <w:t xml:space="preserve"> carne de frango (filé de peito), sem pele e sem osso, sem tempero, não amolecida nem pegajosa, congelada a -12°c; com aspecto, odor e sabor característicos; </w:t>
            </w:r>
            <w:r>
              <w:rPr>
                <w:rFonts w:cs="Arial" w:ascii="Verdana" w:hAnsi="Verdana"/>
                <w:b/>
                <w:bCs/>
                <w:color w:val="000000"/>
                <w:sz w:val="20"/>
                <w:szCs w:val="20"/>
              </w:rPr>
              <w:t>acondicionada em bandejas de isopor e saco plástico atóxico e resistente, pesando 1kg</w:t>
            </w:r>
            <w:r>
              <w:rPr>
                <w:rFonts w:cs="Arial" w:ascii="Verdana" w:hAnsi="Verdana"/>
                <w:color w:val="000000"/>
                <w:sz w:val="20"/>
                <w:szCs w:val="20"/>
              </w:rPr>
              <w:t xml:space="preserve">. Constando obrigatoriamente registro no sif/dipoa e todas as informações de rotulagem; data de fabricação e validade; </w:t>
            </w:r>
            <w:r>
              <w:rPr>
                <w:rFonts w:cs="Arial" w:ascii="Verdana" w:hAnsi="Verdana"/>
                <w:b/>
                <w:bCs/>
                <w:color w:val="000000"/>
                <w:sz w:val="20"/>
                <w:szCs w:val="20"/>
              </w:rPr>
              <w:t>validade mínima de 06 meses após a entrega.</w:t>
            </w:r>
          </w:p>
        </w:tc>
        <w:tc>
          <w:tcPr>
            <w:tcW w:w="135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eastAsia="Times New Roman" w:cs="Arial" w:ascii="Verdana" w:hAnsi="Verdana"/>
                <w:sz w:val="20"/>
                <w:szCs w:val="20"/>
              </w:rPr>
              <w:t>5.625 kg</w:t>
            </w:r>
          </w:p>
        </w:tc>
        <w:tc>
          <w:tcPr>
            <w:tcW w:w="140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R$ 23,18</w:t>
            </w:r>
          </w:p>
        </w:tc>
        <w:tc>
          <w:tcPr>
            <w:tcW w:w="1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eastAsia="Times New Roman" w:cs="Arial" w:ascii="Verdana" w:hAnsi="Verdana"/>
                <w:b w:val="false"/>
                <w:bCs w:val="false"/>
                <w:sz w:val="20"/>
                <w:szCs w:val="20"/>
                <w:u w:val="none"/>
              </w:rPr>
              <w:t>R$ 130.387,50</w:t>
            </w:r>
          </w:p>
        </w:tc>
      </w:tr>
      <w:tr>
        <w:trPr>
          <w:trHeight w:val="1389" w:hRule="atLeast"/>
        </w:trPr>
        <w:tc>
          <w:tcPr>
            <w:tcW w:w="718"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sz w:val="20"/>
                <w:szCs w:val="20"/>
              </w:rPr>
              <w:t>03</w:t>
            </w:r>
          </w:p>
        </w:tc>
        <w:tc>
          <w:tcPr>
            <w:tcW w:w="425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both"/>
              <w:rPr>
                <w:rFonts w:ascii="Verdana" w:hAnsi="Verdana"/>
                <w:sz w:val="20"/>
                <w:szCs w:val="20"/>
              </w:rPr>
            </w:pPr>
            <w:r>
              <w:rPr>
                <w:rFonts w:cs="Arial" w:ascii="Verdana" w:hAnsi="Verdana"/>
                <w:b/>
                <w:bCs/>
                <w:color w:val="000000"/>
                <w:sz w:val="20"/>
                <w:szCs w:val="20"/>
              </w:rPr>
              <w:t>Carne bovina de 1ª patinho</w:t>
            </w:r>
            <w:r>
              <w:rPr>
                <w:rFonts w:cs="Arial" w:ascii="Verdana" w:hAnsi="Verdana"/>
                <w:color w:val="000000"/>
                <w:sz w:val="20"/>
                <w:szCs w:val="20"/>
              </w:rPr>
              <w:t xml:space="preserve"> carne bovina de primeira, limpa, contendo em torno de 4 a 5% no máximo de gordura; sem aponevrose; conservação: congelada (-12°c); aspecto: cor, cheiro e sabor próprio; higiênico sanitária: isentos de sujidades, parasitas e larvas; legislação: conforme lei 6.925, de 17/12/2001; contendo registro de inspeção; </w:t>
            </w:r>
            <w:r>
              <w:rPr>
                <w:rFonts w:cs="Arial" w:ascii="Verdana" w:hAnsi="Verdana"/>
                <w:b/>
                <w:bCs/>
                <w:color w:val="000000"/>
                <w:sz w:val="20"/>
                <w:szCs w:val="20"/>
              </w:rPr>
              <w:t>unidade de fornecimento: pacote de 1 a 2 kg. validade mínima de 06 meses após a entrega.</w:t>
            </w:r>
          </w:p>
        </w:tc>
        <w:tc>
          <w:tcPr>
            <w:tcW w:w="135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sz w:val="20"/>
                <w:szCs w:val="20"/>
              </w:rPr>
              <w:t>2.900 kg</w:t>
            </w:r>
          </w:p>
        </w:tc>
        <w:tc>
          <w:tcPr>
            <w:tcW w:w="140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eastAsia="Times New Roman" w:cs="Arial" w:ascii="Verdana" w:hAnsi="Verdana"/>
                <w:b w:val="false"/>
                <w:bCs w:val="false"/>
                <w:sz w:val="20"/>
                <w:szCs w:val="20"/>
                <w:u w:val="none"/>
              </w:rPr>
              <w:t>R$ 31,90</w:t>
            </w:r>
          </w:p>
        </w:tc>
        <w:tc>
          <w:tcPr>
            <w:tcW w:w="1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eastAsia="Times New Roman" w:cs="Arial" w:ascii="Verdana" w:hAnsi="Verdana"/>
                <w:b w:val="false"/>
                <w:bCs w:val="false"/>
                <w:sz w:val="20"/>
                <w:szCs w:val="20"/>
                <w:u w:val="none"/>
              </w:rPr>
              <w:t>R$ 92.510,00</w:t>
            </w:r>
          </w:p>
        </w:tc>
      </w:tr>
      <w:tr>
        <w:trPr>
          <w:trHeight w:val="269" w:hRule="atLeast"/>
        </w:trPr>
        <w:tc>
          <w:tcPr>
            <w:tcW w:w="718"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sz w:val="20"/>
                <w:szCs w:val="20"/>
              </w:rPr>
              <w:t>04</w:t>
            </w:r>
          </w:p>
        </w:tc>
        <w:tc>
          <w:tcPr>
            <w:tcW w:w="425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both"/>
              <w:rPr>
                <w:rFonts w:ascii="Verdana" w:hAnsi="Verdana"/>
                <w:sz w:val="20"/>
                <w:szCs w:val="20"/>
              </w:rPr>
            </w:pPr>
            <w:r>
              <w:rPr>
                <w:rFonts w:cs="Arial" w:ascii="Verdana" w:hAnsi="Verdana"/>
                <w:b/>
                <w:bCs/>
                <w:color w:val="000000"/>
                <w:sz w:val="20"/>
                <w:szCs w:val="20"/>
              </w:rPr>
              <w:t>Leite em pó, sem lactose</w:t>
            </w:r>
            <w:r>
              <w:rPr>
                <w:rFonts w:cs="Arial" w:ascii="Verdana" w:hAnsi="Verdana"/>
                <w:color w:val="000000"/>
                <w:sz w:val="20"/>
                <w:szCs w:val="20"/>
              </w:rPr>
              <w:t xml:space="preserve"> </w:t>
            </w:r>
            <w:r>
              <w:rPr>
                <w:rFonts w:cs="Arial" w:ascii="Verdana" w:hAnsi="Verdana"/>
                <w:b/>
                <w:bCs/>
                <w:color w:val="000000"/>
                <w:sz w:val="20"/>
                <w:szCs w:val="20"/>
              </w:rPr>
              <w:t xml:space="preserve">integral: </w:t>
            </w:r>
            <w:r>
              <w:rPr>
                <w:rFonts w:cs="Arial" w:ascii="Verdana" w:hAnsi="Verdana"/>
                <w:b w:val="false"/>
                <w:bCs w:val="false"/>
                <w:color w:val="000000"/>
                <w:sz w:val="20"/>
                <w:szCs w:val="20"/>
              </w:rPr>
              <w:t>composto por: leite integral,</w:t>
            </w:r>
            <w:r>
              <w:rPr>
                <w:rFonts w:cs="Arial" w:ascii="Verdana" w:hAnsi="Verdana"/>
                <w:color w:val="000000"/>
                <w:sz w:val="20"/>
                <w:szCs w:val="20"/>
              </w:rPr>
              <w:t xml:space="preserve"> enzima lactase, vitaminas a, c e d. emulsificante lecitina de soja, isento de maltodextrina para dietas com restrição a lactose, embalagem: </w:t>
            </w:r>
            <w:r>
              <w:rPr>
                <w:rFonts w:cs="Arial" w:ascii="Verdana" w:hAnsi="Verdana"/>
                <w:b/>
                <w:bCs/>
                <w:color w:val="000000"/>
                <w:sz w:val="20"/>
                <w:szCs w:val="20"/>
              </w:rPr>
              <w:t>pacote com 300 g, validade de 06 meses após a data de entrega.</w:t>
            </w:r>
          </w:p>
          <w:p>
            <w:pPr>
              <w:pStyle w:val="Normal"/>
              <w:widowControl w:val="false"/>
              <w:tabs>
                <w:tab w:val="clear" w:pos="708"/>
              </w:tabs>
              <w:spacing w:lineRule="auto" w:line="276" w:before="57" w:after="57"/>
              <w:ind w:hanging="0" w:left="0" w:right="0"/>
              <w:jc w:val="both"/>
              <w:rPr>
                <w:rFonts w:ascii="Verdana" w:hAnsi="Verdana"/>
                <w:sz w:val="20"/>
                <w:szCs w:val="20"/>
              </w:rPr>
            </w:pPr>
            <w:r>
              <w:rPr>
                <w:rFonts w:cs="Arial" w:ascii="Verdana" w:hAnsi="Verdana"/>
                <w:color w:val="000000"/>
                <w:sz w:val="20"/>
                <w:szCs w:val="20"/>
              </w:rPr>
              <w:t>Marcas para referência de qualidade: itambé, camponesa, danby, piracanjuba ou similares.</w:t>
            </w:r>
          </w:p>
        </w:tc>
        <w:tc>
          <w:tcPr>
            <w:tcW w:w="135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eastAsia="Times New Roman" w:cs="Arial" w:ascii="Verdana" w:hAnsi="Verdana"/>
                <w:b w:val="false"/>
                <w:bCs w:val="false"/>
                <w:sz w:val="20"/>
                <w:szCs w:val="20"/>
                <w:u w:val="none"/>
              </w:rPr>
              <w:t>60 und</w:t>
            </w:r>
          </w:p>
        </w:tc>
        <w:tc>
          <w:tcPr>
            <w:tcW w:w="140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eastAsia="Times New Roman" w:cs="Arial" w:ascii="Verdana" w:hAnsi="Verdana"/>
                <w:b w:val="false"/>
                <w:bCs w:val="false"/>
                <w:sz w:val="20"/>
                <w:szCs w:val="20"/>
                <w:u w:val="none"/>
              </w:rPr>
              <w:t>R$ 25,90</w:t>
            </w:r>
          </w:p>
        </w:tc>
        <w:tc>
          <w:tcPr>
            <w:tcW w:w="1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R$ 1.554,00</w:t>
            </w:r>
          </w:p>
        </w:tc>
      </w:tr>
      <w:tr>
        <w:trPr>
          <w:trHeight w:val="269" w:hRule="atLeast"/>
        </w:trPr>
        <w:tc>
          <w:tcPr>
            <w:tcW w:w="718"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sz w:val="20"/>
                <w:szCs w:val="20"/>
              </w:rPr>
              <w:t>05</w:t>
            </w:r>
          </w:p>
        </w:tc>
        <w:tc>
          <w:tcPr>
            <w:tcW w:w="4250" w:type="dxa"/>
            <w:tcBorders>
              <w:left w:val="single" w:sz="4" w:space="0" w:color="000000"/>
              <w:bottom w:val="single" w:sz="4" w:space="0" w:color="000000"/>
              <w:right w:val="single" w:sz="4" w:space="0" w:color="000000"/>
            </w:tcBorders>
            <w:vAlign w:val="center"/>
          </w:tcPr>
          <w:p>
            <w:pPr>
              <w:pStyle w:val="TableParagraph"/>
              <w:widowControl w:val="false"/>
              <w:tabs>
                <w:tab w:val="clear" w:pos="708"/>
              </w:tabs>
              <w:spacing w:lineRule="auto" w:line="276" w:before="57" w:after="57"/>
              <w:ind w:hanging="0" w:left="0" w:right="0"/>
              <w:jc w:val="both"/>
              <w:rPr>
                <w:rFonts w:ascii="Verdana" w:hAnsi="Verdana"/>
                <w:sz w:val="20"/>
                <w:szCs w:val="20"/>
              </w:rPr>
            </w:pPr>
            <w:r>
              <w:rPr>
                <w:rFonts w:cs="Arial" w:ascii="Verdana" w:hAnsi="Verdana"/>
                <w:b/>
                <w:bCs/>
                <w:color w:val="000000"/>
                <w:sz w:val="20"/>
                <w:szCs w:val="20"/>
                <w:lang w:val="pt-BR"/>
              </w:rPr>
              <w:t>Leite de soja sem lactose</w:t>
            </w:r>
            <w:r>
              <w:rPr>
                <w:rFonts w:cs="Arial" w:ascii="Verdana" w:hAnsi="Verdana"/>
                <w:color w:val="000000"/>
                <w:sz w:val="20"/>
                <w:szCs w:val="20"/>
                <w:lang w:val="pt-BR"/>
              </w:rPr>
              <w:t xml:space="preserve"> composição: mistura à base de proteína isolada de soja (proteína isolada de soja, óleo de palma, xarope de milho, açúcar, fosfato de cálcio, citrato de potássio, fosfato de potássio dibásico, sal, fosfato de magnésio, ácido ascórbico, óxido de zinco, pirofosfato férrico, pantotenato de cálcio, riboflavina, vitamina a, niacinamida, vitamina b6, mononitrato de tiamina, iodeto de potássio, ácido fólico, vitamina d, vitamina b12, emulsificantes lecitina e mono e diglicerídeos de ácidos graxos, aromatizante e corante natural betacaroteno), açúcar, maltodextrina e aroma idêntico ao natural de baunilha. </w:t>
            </w:r>
            <w:r>
              <w:rPr>
                <w:rFonts w:cs="Arial" w:ascii="Verdana" w:hAnsi="Verdana"/>
                <w:b/>
                <w:bCs/>
                <w:color w:val="000000"/>
                <w:sz w:val="20"/>
                <w:szCs w:val="20"/>
                <w:lang w:val="pt-BR"/>
              </w:rPr>
              <w:t>Embalagem: lata de 300 g. Validade mínima de 06 meses após a entrega.</w:t>
            </w:r>
          </w:p>
        </w:tc>
        <w:tc>
          <w:tcPr>
            <w:tcW w:w="135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eastAsia="Times New Roman" w:cs="Arial" w:ascii="Verdana" w:hAnsi="Verdana"/>
                <w:sz w:val="20"/>
                <w:szCs w:val="20"/>
              </w:rPr>
              <w:t>50 lata</w:t>
            </w:r>
            <w:r>
              <w:rPr>
                <w:rFonts w:eastAsia="Times New Roman" w:cs="Arial" w:ascii="Verdana" w:hAnsi="Verdana"/>
                <w:sz w:val="20"/>
                <w:szCs w:val="20"/>
              </w:rPr>
              <w:t>s</w:t>
            </w:r>
          </w:p>
        </w:tc>
        <w:tc>
          <w:tcPr>
            <w:tcW w:w="140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eastAsia="Times New Roman" w:cs="Arial" w:ascii="Verdana" w:hAnsi="Verdana"/>
                <w:b w:val="false"/>
                <w:bCs w:val="false"/>
                <w:sz w:val="20"/>
                <w:szCs w:val="20"/>
                <w:u w:val="none"/>
              </w:rPr>
              <w:t>R$ 39,90</w:t>
            </w:r>
          </w:p>
        </w:tc>
        <w:tc>
          <w:tcPr>
            <w:tcW w:w="1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eastAsia="Times New Roman" w:cs="Arial" w:ascii="Verdana" w:hAnsi="Verdana"/>
                <w:b w:val="false"/>
                <w:bCs w:val="false"/>
                <w:sz w:val="20"/>
                <w:szCs w:val="20"/>
                <w:u w:val="none"/>
              </w:rPr>
              <w:t>R$ 1.995,00</w:t>
            </w:r>
          </w:p>
        </w:tc>
      </w:tr>
      <w:tr>
        <w:trPr>
          <w:trHeight w:val="269" w:hRule="atLeast"/>
        </w:trPr>
        <w:tc>
          <w:tcPr>
            <w:tcW w:w="718"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sz w:val="20"/>
                <w:szCs w:val="20"/>
              </w:rPr>
              <w:t>06</w:t>
            </w:r>
          </w:p>
        </w:tc>
        <w:tc>
          <w:tcPr>
            <w:tcW w:w="425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both"/>
              <w:rPr>
                <w:rFonts w:ascii="Verdana" w:hAnsi="Verdana"/>
                <w:sz w:val="20"/>
                <w:szCs w:val="20"/>
              </w:rPr>
            </w:pPr>
            <w:r>
              <w:rPr>
                <w:rFonts w:cs="Arial" w:ascii="Verdana" w:hAnsi="Verdana"/>
                <w:b/>
                <w:bCs/>
                <w:color w:val="000000"/>
                <w:sz w:val="20"/>
                <w:szCs w:val="20"/>
              </w:rPr>
              <w:t>Macarrão tipo espaguete, com sêmola</w:t>
            </w:r>
            <w:r>
              <w:rPr>
                <w:rFonts w:cs="Arial" w:ascii="Verdana" w:hAnsi="Verdana"/>
                <w:color w:val="000000"/>
                <w:sz w:val="20"/>
                <w:szCs w:val="20"/>
              </w:rPr>
              <w:t xml:space="preserve"> isento fragmentos estranhos, livre de umidade; acondicionamento: </w:t>
            </w:r>
            <w:r>
              <w:rPr>
                <w:rFonts w:cs="Arial" w:ascii="Verdana" w:hAnsi="Verdana"/>
                <w:b/>
                <w:bCs/>
                <w:color w:val="000000"/>
                <w:sz w:val="20"/>
                <w:szCs w:val="20"/>
              </w:rPr>
              <w:t>embalagem plástica original de 1kg</w:t>
            </w:r>
            <w:r>
              <w:rPr>
                <w:rFonts w:cs="Arial" w:ascii="Verdana" w:hAnsi="Verdana"/>
                <w:color w:val="000000"/>
                <w:sz w:val="20"/>
                <w:szCs w:val="20"/>
              </w:rPr>
              <w:t xml:space="preserve">. Legislação: conforme </w:t>
            </w:r>
            <w:r>
              <w:rPr>
                <w:rFonts w:cs="Arial" w:ascii="Verdana" w:hAnsi="Verdana"/>
                <w:color w:val="000000"/>
                <w:sz w:val="20"/>
                <w:szCs w:val="20"/>
              </w:rPr>
              <w:t>R</w:t>
            </w:r>
            <w:r>
              <w:rPr>
                <w:rFonts w:cs="Arial" w:ascii="Verdana" w:hAnsi="Verdana"/>
                <w:color w:val="000000"/>
                <w:sz w:val="20"/>
                <w:szCs w:val="20"/>
              </w:rPr>
              <w:t xml:space="preserve">esolução rdc n 263, de 22/09/2005; </w:t>
            </w:r>
            <w:r>
              <w:rPr>
                <w:rFonts w:cs="Arial" w:ascii="Verdana" w:hAnsi="Verdana"/>
                <w:b/>
                <w:bCs/>
                <w:color w:val="000000"/>
                <w:sz w:val="20"/>
                <w:szCs w:val="20"/>
              </w:rPr>
              <w:t>validade mínima de 06 meses após a entrega</w:t>
            </w:r>
            <w:r>
              <w:rPr>
                <w:rFonts w:cs="Arial" w:ascii="Verdana" w:hAnsi="Verdana"/>
                <w:color w:val="000000"/>
                <w:sz w:val="20"/>
                <w:szCs w:val="20"/>
              </w:rPr>
              <w:t>.</w:t>
            </w:r>
          </w:p>
        </w:tc>
        <w:tc>
          <w:tcPr>
            <w:tcW w:w="135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b w:val="false"/>
                <w:bCs w:val="false"/>
                <w:sz w:val="20"/>
                <w:szCs w:val="20"/>
                <w:u w:val="none"/>
              </w:rPr>
              <w:t>1.400 kg</w:t>
            </w:r>
          </w:p>
        </w:tc>
        <w:tc>
          <w:tcPr>
            <w:tcW w:w="140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eastAsia="Times New Roman" w:cs="Arial" w:ascii="Verdana" w:hAnsi="Verdana"/>
                <w:b w:val="false"/>
                <w:bCs w:val="false"/>
                <w:sz w:val="20"/>
                <w:szCs w:val="20"/>
                <w:u w:val="none"/>
              </w:rPr>
              <w:t>R$ 5,65</w:t>
            </w:r>
          </w:p>
        </w:tc>
        <w:tc>
          <w:tcPr>
            <w:tcW w:w="1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R$ 7.910,00</w:t>
            </w:r>
          </w:p>
        </w:tc>
      </w:tr>
      <w:tr>
        <w:trPr>
          <w:trHeight w:val="269" w:hRule="atLeast"/>
        </w:trPr>
        <w:tc>
          <w:tcPr>
            <w:tcW w:w="718"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sz w:val="20"/>
                <w:szCs w:val="20"/>
              </w:rPr>
              <w:t>07</w:t>
            </w:r>
          </w:p>
        </w:tc>
        <w:tc>
          <w:tcPr>
            <w:tcW w:w="425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both"/>
              <w:rPr>
                <w:rFonts w:ascii="Verdana" w:hAnsi="Verdana"/>
                <w:sz w:val="20"/>
                <w:szCs w:val="20"/>
              </w:rPr>
            </w:pPr>
            <w:r>
              <w:rPr>
                <w:rFonts w:cs="Arial" w:ascii="Verdana" w:hAnsi="Verdana"/>
                <w:b/>
                <w:bCs/>
                <w:color w:val="000000"/>
                <w:sz w:val="20"/>
                <w:szCs w:val="20"/>
              </w:rPr>
              <w:t>Amendoim natural</w:t>
            </w:r>
            <w:r>
              <w:rPr>
                <w:rFonts w:cs="Arial" w:ascii="Verdana" w:hAnsi="Verdana"/>
                <w:color w:val="000000"/>
                <w:sz w:val="20"/>
                <w:szCs w:val="20"/>
              </w:rPr>
              <w:t xml:space="preserve"> grupo: descascado, subgrupo: selecionado, tipo i. Isento de fragmentos estranhos, parasitas e detritos; acondicionado: </w:t>
            </w:r>
            <w:r>
              <w:rPr>
                <w:rFonts w:cs="Arial" w:ascii="Verdana" w:hAnsi="Verdana"/>
                <w:b/>
                <w:bCs/>
                <w:color w:val="000000"/>
                <w:sz w:val="20"/>
                <w:szCs w:val="20"/>
              </w:rPr>
              <w:t>embalagem plástica de 500 g</w:t>
            </w:r>
            <w:r>
              <w:rPr>
                <w:rFonts w:cs="Arial" w:ascii="Verdana" w:hAnsi="Verdana"/>
                <w:color w:val="000000"/>
                <w:sz w:val="20"/>
                <w:szCs w:val="20"/>
              </w:rPr>
              <w:t xml:space="preserve">, contendo identificação do produto data de fabricação e prazo de validade. </w:t>
            </w:r>
            <w:r>
              <w:rPr>
                <w:rFonts w:cs="Arial" w:ascii="Verdana" w:hAnsi="Verdana"/>
                <w:b/>
                <w:bCs/>
                <w:color w:val="000000"/>
                <w:sz w:val="20"/>
                <w:szCs w:val="20"/>
              </w:rPr>
              <w:t>Validade mínima de 06 meses após a entrega.</w:t>
            </w:r>
          </w:p>
        </w:tc>
        <w:tc>
          <w:tcPr>
            <w:tcW w:w="135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sz w:val="20"/>
                <w:szCs w:val="20"/>
              </w:rPr>
              <w:t>100 pct</w:t>
            </w:r>
          </w:p>
        </w:tc>
        <w:tc>
          <w:tcPr>
            <w:tcW w:w="140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cs="Arial" w:ascii="Verdana" w:hAnsi="Verdana"/>
                <w:b w:val="false"/>
                <w:bCs w:val="false"/>
                <w:sz w:val="20"/>
                <w:szCs w:val="20"/>
                <w:u w:val="none"/>
              </w:rPr>
              <w:t>R$ 8,65</w:t>
            </w:r>
          </w:p>
        </w:tc>
        <w:tc>
          <w:tcPr>
            <w:tcW w:w="1763" w:type="dxa"/>
            <w:tcBorders>
              <w:left w:val="single" w:sz="4" w:space="0" w:color="000000"/>
              <w:bottom w:val="single" w:sz="4" w:space="0" w:color="000000"/>
              <w:right w:val="single" w:sz="4" w:space="0" w:color="000000"/>
            </w:tcBorders>
            <w:vAlign w:val="center"/>
          </w:tcPr>
          <w:p>
            <w:pPr>
              <w:pStyle w:val="Heading4"/>
              <w:numPr>
                <w:ilvl w:val="0"/>
                <w:numId w:val="0"/>
              </w:numPr>
              <w:spacing w:lineRule="auto" w:line="276" w:before="57" w:after="57"/>
              <w:ind w:hanging="0" w:left="0" w:right="0"/>
              <w:jc w:val="left"/>
              <w:rPr>
                <w:rFonts w:ascii="Verdana" w:hAnsi="Verdana"/>
                <w:sz w:val="20"/>
                <w:szCs w:val="20"/>
              </w:rPr>
            </w:pPr>
            <w:r>
              <w:rPr>
                <w:rFonts w:ascii="Verdana" w:hAnsi="Verdana"/>
                <w:b w:val="false"/>
                <w:bCs w:val="false"/>
                <w:i w:val="false"/>
                <w:iCs w:val="false"/>
                <w:sz w:val="20"/>
                <w:szCs w:val="20"/>
              </w:rPr>
              <w:t>R$ 865,00</w:t>
            </w:r>
          </w:p>
        </w:tc>
      </w:tr>
      <w:tr>
        <w:trPr>
          <w:trHeight w:val="269" w:hRule="atLeast"/>
        </w:trPr>
        <w:tc>
          <w:tcPr>
            <w:tcW w:w="718"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sz w:val="20"/>
                <w:szCs w:val="20"/>
              </w:rPr>
              <w:t>08</w:t>
            </w:r>
          </w:p>
        </w:tc>
        <w:tc>
          <w:tcPr>
            <w:tcW w:w="425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both"/>
              <w:rPr>
                <w:rFonts w:ascii="Verdana" w:hAnsi="Verdana"/>
                <w:sz w:val="20"/>
                <w:szCs w:val="20"/>
              </w:rPr>
            </w:pPr>
            <w:r>
              <w:rPr>
                <w:rFonts w:cs="Arial" w:ascii="Verdana" w:hAnsi="Verdana"/>
                <w:b/>
                <w:bCs/>
                <w:sz w:val="20"/>
                <w:szCs w:val="20"/>
              </w:rPr>
              <w:t>Uva passa branca</w:t>
            </w:r>
            <w:r>
              <w:rPr>
                <w:rFonts w:cs="Arial" w:ascii="Verdana" w:hAnsi="Verdana"/>
                <w:sz w:val="20"/>
                <w:szCs w:val="20"/>
              </w:rPr>
              <w:t xml:space="preserve"> </w:t>
            </w:r>
            <w:r>
              <w:rPr>
                <w:rFonts w:cs="Arial" w:ascii="Verdana" w:hAnsi="Verdana"/>
                <w:b/>
                <w:bCs/>
                <w:sz w:val="20"/>
                <w:szCs w:val="20"/>
              </w:rPr>
              <w:t>desidratada</w:t>
            </w:r>
            <w:r>
              <w:rPr>
                <w:rFonts w:cs="Arial" w:ascii="Verdana" w:hAnsi="Verdana"/>
                <w:sz w:val="20"/>
                <w:szCs w:val="20"/>
              </w:rPr>
              <w:t xml:space="preserve">, branca, sem semente, livre de fungos; embalagem fechada e rotulada conforme legislação vigente. </w:t>
            </w:r>
            <w:r>
              <w:rPr>
                <w:rFonts w:cs="Arial" w:ascii="Verdana" w:hAnsi="Verdana"/>
                <w:b/>
                <w:bCs/>
                <w:sz w:val="20"/>
                <w:szCs w:val="20"/>
              </w:rPr>
              <w:t>Pacote contendo 200 g. Data de validade mínima de 6 meses após a entrega.</w:t>
            </w:r>
          </w:p>
        </w:tc>
        <w:tc>
          <w:tcPr>
            <w:tcW w:w="135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sz w:val="20"/>
                <w:szCs w:val="20"/>
              </w:rPr>
              <w:t>50 kg</w:t>
            </w:r>
          </w:p>
        </w:tc>
        <w:tc>
          <w:tcPr>
            <w:tcW w:w="140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cs="Arial" w:ascii="Verdana" w:hAnsi="Verdana"/>
                <w:sz w:val="20"/>
                <w:szCs w:val="20"/>
              </w:rPr>
              <w:t>R$ 54,90</w:t>
            </w:r>
          </w:p>
        </w:tc>
        <w:tc>
          <w:tcPr>
            <w:tcW w:w="1763"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R$ 2.745,00</w:t>
            </w:r>
          </w:p>
        </w:tc>
      </w:tr>
      <w:tr>
        <w:trPr>
          <w:trHeight w:val="269" w:hRule="atLeast"/>
        </w:trPr>
        <w:tc>
          <w:tcPr>
            <w:tcW w:w="9488" w:type="dxa"/>
            <w:gridSpan w:val="5"/>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hanging="0" w:left="0" w:right="0"/>
              <w:jc w:val="center"/>
              <w:rPr>
                <w:rFonts w:ascii="Verdana" w:hAnsi="Verdana" w:cs="Arial"/>
                <w:b/>
                <w:sz w:val="20"/>
                <w:szCs w:val="20"/>
                <w:u w:val="single"/>
              </w:rPr>
            </w:pPr>
            <w:r>
              <w:rPr>
                <w:rFonts w:cs="Arial" w:ascii="Verdana" w:hAnsi="Verdana"/>
                <w:b/>
                <w:sz w:val="20"/>
                <w:szCs w:val="20"/>
                <w:u w:val="single"/>
              </w:rPr>
            </w:r>
          </w:p>
          <w:p>
            <w:pPr>
              <w:pStyle w:val="Normal"/>
              <w:widowControl w:val="false"/>
              <w:tabs>
                <w:tab w:val="clear" w:pos="708"/>
              </w:tabs>
              <w:spacing w:lineRule="auto" w:line="276" w:before="57" w:after="57"/>
              <w:ind w:hanging="0" w:left="0" w:right="0"/>
              <w:jc w:val="center"/>
              <w:rPr>
                <w:rFonts w:ascii="Verdana" w:hAnsi="Verdana"/>
                <w:sz w:val="20"/>
                <w:szCs w:val="20"/>
              </w:rPr>
            </w:pPr>
            <w:r>
              <w:rPr>
                <w:rFonts w:cs="Arial" w:ascii="Verdana" w:hAnsi="Verdana"/>
                <w:b/>
                <w:bCs/>
                <w:sz w:val="20"/>
                <w:szCs w:val="20"/>
              </w:rPr>
              <w:t>VALOR MÉDIO TOTAL: R$ 246.515,00</w:t>
            </w:r>
            <w:r>
              <w:rPr>
                <w:rFonts w:eastAsia="Times New Roman" w:cs="Arial" w:ascii="Verdana" w:hAnsi="Verdana"/>
                <w:b/>
                <w:bCs/>
                <w:sz w:val="20"/>
                <w:szCs w:val="20"/>
              </w:rPr>
              <w:t xml:space="preserve"> (duzentos e quarenta e seis mil quinhentos e quinze reais)</w:t>
            </w:r>
          </w:p>
        </w:tc>
      </w:tr>
    </w:tbl>
    <w:p>
      <w:pPr>
        <w:pStyle w:val="Normal"/>
        <w:widowControl w:val="false"/>
        <w:tabs>
          <w:tab w:val="clear" w:pos="708"/>
          <w:tab w:val="left" w:pos="0" w:leader="none"/>
        </w:tabs>
        <w:suppressAutoHyphens w:val="false"/>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p>
    <w:p>
      <w:pPr>
        <w:pStyle w:val="Normal"/>
        <w:suppressAutoHyphens w:val="false"/>
        <w:spacing w:lineRule="auto" w:line="276" w:before="57" w:after="57"/>
        <w:ind w:hanging="0" w:left="0" w:right="0"/>
        <w:jc w:val="both"/>
        <w:rPr>
          <w:rFonts w:ascii="Verdana" w:hAnsi="Verdana"/>
          <w:sz w:val="20"/>
          <w:szCs w:val="20"/>
        </w:rPr>
      </w:pPr>
      <w:r>
        <w:rPr>
          <w:rFonts w:ascii="Verdana" w:hAnsi="Verdana"/>
          <w:b w:val="false"/>
          <w:bCs w:val="false"/>
          <w:iCs/>
          <w:sz w:val="20"/>
          <w:szCs w:val="20"/>
        </w:rPr>
        <w:t>1.2.</w:t>
      </w:r>
      <w:r>
        <w:rPr>
          <w:rFonts w:ascii="Verdana" w:hAnsi="Verdana"/>
          <w:iCs/>
          <w:sz w:val="20"/>
          <w:szCs w:val="20"/>
        </w:rPr>
        <w:t xml:space="preserve"> Os produtos propostos deverão, obrigatoriamente, atender as exigências de qualidade, observados os padrões e normas baixadas pelos órgãos competentes de controle e fiscalização de qualidade industrial em especial ANVISA ou equiparadas.</w:t>
      </w:r>
    </w:p>
    <w:p>
      <w:pPr>
        <w:pStyle w:val="Normal"/>
        <w:suppressAutoHyphens w:val="false"/>
        <w:spacing w:lineRule="auto" w:line="276" w:before="57" w:after="57"/>
        <w:ind w:hanging="0" w:left="0" w:right="0"/>
        <w:jc w:val="both"/>
        <w:rPr>
          <w:rFonts w:ascii="Verdana" w:hAnsi="Verdana"/>
          <w:sz w:val="20"/>
          <w:szCs w:val="20"/>
        </w:rPr>
      </w:pPr>
      <w:r>
        <w:rPr>
          <w:rFonts w:ascii="Verdana" w:hAnsi="Verdana"/>
          <w:iCs/>
          <w:sz w:val="20"/>
          <w:szCs w:val="20"/>
        </w:rPr>
        <w:t>1.3.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pPr>
        <w:pStyle w:val="Normal"/>
        <w:suppressAutoHyphens w:val="false"/>
        <w:spacing w:lineRule="auto" w:line="276" w:before="57" w:after="57"/>
        <w:ind w:hanging="0" w:left="0" w:right="0"/>
        <w:jc w:val="both"/>
        <w:rPr>
          <w:rFonts w:ascii="Verdana" w:hAnsi="Verdana"/>
          <w:sz w:val="20"/>
          <w:szCs w:val="20"/>
        </w:rPr>
      </w:pPr>
      <w:r>
        <w:rPr>
          <w:rFonts w:ascii="Verdana" w:hAnsi="Verdana"/>
          <w:iCs/>
          <w:sz w:val="20"/>
          <w:szCs w:val="20"/>
        </w:rPr>
        <w:t xml:space="preserve">1.4. </w:t>
      </w:r>
      <w:bookmarkStart w:id="0" w:name="art23§711"/>
      <w:r>
        <w:rPr>
          <w:rFonts w:eastAsia="Times New Roman" w:cs="Arial" w:ascii="Verdana" w:hAnsi="Verdana"/>
          <w:iCs/>
          <w:color w:val="000000"/>
          <w:sz w:val="20"/>
          <w:szCs w:val="20"/>
        </w:rPr>
        <w:t>Os insumos necessários às embalagens e para as entregas serão fornecidos pela Contratada.</w:t>
      </w:r>
    </w:p>
    <w:p>
      <w:pPr>
        <w:pStyle w:val="ListParagraph"/>
        <w:suppressAutoHyphens w:val="false"/>
        <w:spacing w:lineRule="auto" w:line="276" w:before="57" w:after="57"/>
        <w:ind w:hanging="0" w:left="0" w:right="0"/>
        <w:contextualSpacing w:val="false"/>
        <w:jc w:val="both"/>
        <w:rPr>
          <w:rFonts w:ascii="Verdana" w:hAnsi="Verdana"/>
          <w:sz w:val="20"/>
          <w:szCs w:val="20"/>
        </w:rPr>
      </w:pPr>
      <w:r>
        <w:rPr>
          <w:rFonts w:ascii="Verdana" w:hAnsi="Verdana"/>
          <w:b w:val="false"/>
          <w:bCs w:val="false"/>
          <w:iCs/>
          <w:sz w:val="20"/>
          <w:szCs w:val="20"/>
        </w:rPr>
        <w:t xml:space="preserve">1.5. </w:t>
      </w:r>
      <w:r>
        <w:rPr>
          <w:rFonts w:cs="Arial" w:ascii="Verdana" w:hAnsi="Verdana"/>
          <w:bCs/>
          <w:iCs/>
          <w:color w:val="000000"/>
          <w:sz w:val="20"/>
          <w:szCs w:val="20"/>
        </w:rPr>
        <w:t xml:space="preserve">O prazo de vigência da contratação será </w:t>
      </w:r>
      <w:r>
        <w:rPr>
          <w:rFonts w:eastAsia="Times New Roman" w:cs="Arial" w:ascii="Verdana" w:hAnsi="Verdana"/>
          <w:bCs/>
          <w:iCs/>
          <w:color w:val="000000"/>
          <w:sz w:val="20"/>
          <w:szCs w:val="20"/>
        </w:rPr>
        <w:t>contado até a execução da última entrega (conforme cronograma</w:t>
      </w:r>
      <w:r>
        <w:rPr>
          <w:rFonts w:cs="Arial" w:ascii="Verdana" w:hAnsi="Verdana"/>
          <w:bCs/>
          <w:iCs/>
          <w:color w:val="000000"/>
          <w:sz w:val="20"/>
          <w:szCs w:val="20"/>
        </w:rPr>
        <w:t>) contados a partir da assinatura d</w:t>
      </w:r>
      <w:r>
        <w:rPr>
          <w:rFonts w:eastAsia="Times New Roman" w:cs="Arial" w:ascii="Verdana" w:hAnsi="Verdana"/>
          <w:bCs/>
          <w:iCs/>
          <w:color w:val="000000"/>
          <w:sz w:val="20"/>
          <w:szCs w:val="20"/>
        </w:rPr>
        <w:t>o contrato</w:t>
      </w:r>
      <w:r>
        <w:rPr>
          <w:rFonts w:cs="Arial" w:ascii="Verdana" w:hAnsi="Verdana"/>
          <w:bCs/>
          <w:iCs/>
          <w:color w:val="000000"/>
          <w:sz w:val="20"/>
          <w:szCs w:val="20"/>
        </w:rPr>
        <w:t>.</w:t>
      </w:r>
    </w:p>
    <w:p>
      <w:pPr>
        <w:pStyle w:val="ListParagraph"/>
        <w:tabs>
          <w:tab w:val="clear" w:pos="708"/>
          <w:tab w:val="left" w:pos="0" w:leader="none"/>
        </w:tabs>
        <w:suppressAutoHyphens w:val="false"/>
        <w:spacing w:lineRule="auto" w:line="276" w:before="57" w:after="57"/>
        <w:ind w:hanging="0" w:left="0" w:right="0"/>
        <w:contextualSpacing w:val="false"/>
        <w:jc w:val="both"/>
        <w:rPr>
          <w:rFonts w:ascii="Verdana" w:hAnsi="Verdana"/>
          <w:sz w:val="20"/>
          <w:szCs w:val="20"/>
        </w:rPr>
      </w:pPr>
      <w:r>
        <w:rPr>
          <w:rFonts w:eastAsia="Times New Roman" w:cs="Times New Roman" w:ascii="Verdana" w:hAnsi="Verdana"/>
          <w:b w:val="false"/>
          <w:bCs w:val="false"/>
          <w:iCs/>
          <w:color w:val="000000"/>
          <w:sz w:val="20"/>
          <w:szCs w:val="20"/>
        </w:rPr>
        <w:t>1.6.</w:t>
      </w:r>
      <w:r>
        <w:rPr>
          <w:rFonts w:eastAsia="Times New Roman" w:cs="Times New Roman" w:ascii="Verdana" w:hAnsi="Verdana"/>
          <w:iCs/>
          <w:color w:val="000000"/>
          <w:sz w:val="20"/>
          <w:szCs w:val="20"/>
        </w:rPr>
        <w:t xml:space="preserve"> O custo estimado total da contrataçã</w:t>
      </w:r>
      <w:r>
        <w:rPr>
          <w:rFonts w:eastAsia="Times New Roman" w:cs="Times New Roman" w:ascii="Verdana" w:hAnsi="Verdana"/>
          <w:b w:val="false"/>
          <w:bCs w:val="false"/>
          <w:i w:val="false"/>
          <w:iCs w:val="false"/>
          <w:color w:val="000000"/>
          <w:sz w:val="20"/>
          <w:szCs w:val="20"/>
        </w:rPr>
        <w:t xml:space="preserve">o é de </w:t>
      </w:r>
      <w:r>
        <w:rPr>
          <w:rFonts w:eastAsia="Times New Roman" w:cs="Arial" w:ascii="Verdana" w:hAnsi="Verdana"/>
          <w:b w:val="false"/>
          <w:bCs w:val="false"/>
          <w:i w:val="false"/>
          <w:iCs w:val="false"/>
          <w:color w:val="000000"/>
          <w:sz w:val="20"/>
          <w:szCs w:val="20"/>
        </w:rPr>
        <w:t xml:space="preserve">R$ 246.515,00 (duzentos e quarenta e seis mil quinhentos e quinze reais) </w:t>
      </w:r>
      <w:r>
        <w:rPr>
          <w:rFonts w:eastAsia="Times New Roman" w:cs="Times New Roman" w:ascii="Verdana" w:hAnsi="Verdana"/>
          <w:b w:val="false"/>
          <w:bCs w:val="false"/>
          <w:i w:val="false"/>
          <w:iCs w:val="false"/>
          <w:color w:val="000000"/>
          <w:sz w:val="20"/>
          <w:szCs w:val="20"/>
        </w:rPr>
        <w:t>conforme</w:t>
      </w:r>
      <w:r>
        <w:rPr>
          <w:rFonts w:eastAsia="Times New Roman" w:cs="Times New Roman" w:ascii="Verdana" w:hAnsi="Verdana"/>
          <w:iCs/>
          <w:color w:val="000000"/>
          <w:sz w:val="20"/>
          <w:szCs w:val="20"/>
        </w:rPr>
        <w:t xml:space="preserve"> </w:t>
      </w:r>
      <w:r>
        <w:rPr>
          <w:rFonts w:eastAsia="Times New Roman" w:cs="Times New Roman" w:ascii="Verdana" w:hAnsi="Verdana"/>
          <w:i w:val="false"/>
          <w:iCs w:val="false"/>
          <w:color w:val="000000"/>
          <w:sz w:val="20"/>
          <w:szCs w:val="20"/>
          <w:u w:val="none"/>
        </w:rPr>
        <w:t>custos un</w:t>
      </w:r>
      <w:r>
        <w:rPr>
          <w:rFonts w:eastAsia="Times New Roman" w:cs="Times New Roman" w:ascii="Verdana" w:hAnsi="Verdana"/>
          <w:iCs/>
          <w:color w:val="000000"/>
          <w:sz w:val="20"/>
          <w:szCs w:val="20"/>
          <w:u w:val="single"/>
        </w:rPr>
        <w:t>i</w:t>
      </w:r>
      <w:r>
        <w:rPr>
          <w:rFonts w:eastAsia="Times New Roman" w:cs="Times New Roman" w:ascii="Verdana" w:hAnsi="Verdana"/>
          <w:iCs/>
          <w:color w:val="000000"/>
          <w:sz w:val="20"/>
          <w:szCs w:val="20"/>
          <w:u w:val="none"/>
        </w:rPr>
        <w:t xml:space="preserve">tários </w:t>
      </w:r>
      <w:r>
        <w:rPr>
          <w:rFonts w:eastAsia="Times New Roman" w:cs="Times New Roman" w:ascii="Verdana" w:hAnsi="Verdana"/>
          <w:iCs/>
          <w:color w:val="000000"/>
          <w:sz w:val="20"/>
          <w:szCs w:val="20"/>
        </w:rPr>
        <w:t>apostos no orçamento e no quadro comparativo de preços simples em anexo.</w:t>
      </w:r>
    </w:p>
    <w:p>
      <w:pPr>
        <w:pStyle w:val="ListParagraph"/>
        <w:tabs>
          <w:tab w:val="clear" w:pos="708"/>
          <w:tab w:val="left" w:pos="0" w:leader="none"/>
        </w:tabs>
        <w:suppressAutoHyphens w:val="false"/>
        <w:spacing w:lineRule="auto" w:line="276" w:before="57" w:after="57"/>
        <w:ind w:hanging="0" w:left="0" w:right="0"/>
        <w:contextualSpacing w:val="false"/>
        <w:jc w:val="both"/>
        <w:rPr>
          <w:rFonts w:ascii="Verdana" w:hAnsi="Verdana"/>
          <w:sz w:val="20"/>
          <w:szCs w:val="20"/>
        </w:rPr>
      </w:pPr>
      <w:r>
        <w:rPr>
          <w:rFonts w:ascii="Verdana" w:hAnsi="Verdana"/>
          <w:sz w:val="20"/>
          <w:szCs w:val="20"/>
        </w:rPr>
      </w:r>
    </w:p>
    <w:p>
      <w:pPr>
        <w:pStyle w:val="Nivel1"/>
        <w:spacing w:lineRule="auto" w:line="276" w:before="57" w:after="57"/>
        <w:ind w:hanging="0" w:left="0" w:right="0"/>
        <w:rPr>
          <w:rFonts w:ascii="Verdana" w:hAnsi="Verdana"/>
          <w:sz w:val="20"/>
          <w:szCs w:val="20"/>
        </w:rPr>
      </w:pPr>
      <w:r>
        <w:rPr>
          <w:rFonts w:cs="Times New Roman" w:ascii="Verdana" w:hAnsi="Verdana"/>
          <w:bCs/>
          <w:sz w:val="20"/>
          <w:szCs w:val="20"/>
        </w:rPr>
        <w:t>2. FUNDAMENTAÇÃO E DESCRIÇÃO DA NECESSIDADE DA AQUISIÇÃO</w:t>
      </w:r>
    </w:p>
    <w:p>
      <w:pPr>
        <w:pStyle w:val="ListParagraph"/>
        <w:widowControl/>
        <w:suppressAutoHyphens w:val="true"/>
        <w:overflowPunct w:val="true"/>
        <w:bidi w:val="0"/>
        <w:spacing w:lineRule="auto" w:line="276" w:before="57" w:after="57"/>
        <w:ind w:hanging="0" w:left="0" w:right="0"/>
        <w:contextualSpacing w:val="false"/>
        <w:jc w:val="both"/>
        <w:rPr>
          <w:rFonts w:ascii="Verdana" w:hAnsi="Verdana"/>
          <w:sz w:val="20"/>
          <w:szCs w:val="20"/>
        </w:rPr>
      </w:pPr>
      <w:r>
        <w:rPr>
          <w:rFonts w:cs="Arial" w:ascii="Verdana" w:hAnsi="Verdana"/>
          <w:b w:val="false"/>
          <w:bCs w:val="false"/>
          <w:sz w:val="20"/>
          <w:szCs w:val="20"/>
        </w:rPr>
        <w:t>2.1. Aquisição, por meio de pregão eletrônico, para aquisição de gêneros alimentícios para atender ao Programa Nacional de Alimentação Escolar.</w:t>
      </w:r>
    </w:p>
    <w:p>
      <w:pPr>
        <w:pStyle w:val="ListParagraph"/>
        <w:widowControl/>
        <w:suppressAutoHyphens w:val="true"/>
        <w:overflowPunct w:val="true"/>
        <w:bidi w:val="0"/>
        <w:spacing w:lineRule="auto" w:line="276" w:before="57" w:after="57"/>
        <w:ind w:hanging="0" w:left="0" w:right="0"/>
        <w:contextualSpacing w:val="false"/>
        <w:jc w:val="both"/>
        <w:rPr>
          <w:rFonts w:ascii="Verdana" w:hAnsi="Verdana"/>
          <w:sz w:val="20"/>
          <w:szCs w:val="20"/>
        </w:rPr>
      </w:pPr>
      <w:r>
        <w:rPr>
          <w:rFonts w:eastAsia="Arial" w:cs="Arial" w:ascii="Verdana" w:hAnsi="Verdana"/>
          <w:b w:val="false"/>
          <w:bCs w:val="false"/>
          <w:sz w:val="20"/>
          <w:szCs w:val="20"/>
        </w:rPr>
        <w:t>2.2. A quantidade foi estimada com base na demanda que será necessária para atender as Escolas, com levantamento realizado e informado pela Nutricionista Responsável Técnica do Programa Nacional de Alimentação Escolar no Município de São Gabriel da Palha;</w:t>
      </w:r>
    </w:p>
    <w:p>
      <w:pPr>
        <w:pStyle w:val="Normal"/>
        <w:widowControl/>
        <w:suppressAutoHyphens w:val="true"/>
        <w:overflowPunct w:val="true"/>
        <w:bidi w:val="0"/>
        <w:spacing w:lineRule="auto" w:line="276" w:before="57" w:after="57"/>
        <w:ind w:hanging="0" w:left="0" w:right="0"/>
        <w:jc w:val="both"/>
        <w:rPr>
          <w:rFonts w:ascii="Verdana" w:hAnsi="Verdana"/>
          <w:sz w:val="20"/>
          <w:szCs w:val="20"/>
        </w:rPr>
      </w:pPr>
      <w:r>
        <w:rPr>
          <w:rFonts w:eastAsia="Arial" w:cs="Arial" w:ascii="Verdana" w:hAnsi="Verdana"/>
          <w:b w:val="false"/>
          <w:bCs w:val="false"/>
          <w:sz w:val="20"/>
          <w:szCs w:val="20"/>
        </w:rPr>
        <w:t>2.3. Informamos</w:t>
      </w:r>
      <w:r>
        <w:rPr>
          <w:rFonts w:cs="Arial" w:ascii="Verdana" w:hAnsi="Verdana"/>
          <w:b w:val="false"/>
          <w:bCs w:val="false"/>
          <w:sz w:val="20"/>
          <w:szCs w:val="20"/>
        </w:rPr>
        <w:t xml:space="preserve"> que as Escolas da Rede Municipal necessitam dos gêneros alimentícios, devido seu valor nutricional e sua importância perante o crescimento e desenvolvimento dos alunos atendidos pelo programa de Alimentação Escolar;</w:t>
      </w:r>
    </w:p>
    <w:p>
      <w:pPr>
        <w:pStyle w:val="ListParagraph"/>
        <w:spacing w:lineRule="auto" w:line="276" w:before="57" w:after="57"/>
        <w:ind w:hanging="0" w:left="0" w:right="0"/>
        <w:contextualSpacing w:val="false"/>
        <w:jc w:val="both"/>
        <w:rPr>
          <w:rFonts w:ascii="Verdana" w:hAnsi="Verdana"/>
          <w:sz w:val="20"/>
          <w:szCs w:val="20"/>
        </w:rPr>
      </w:pPr>
      <w:r>
        <w:rPr>
          <w:rFonts w:eastAsia="Arial" w:cs="Arial" w:ascii="Verdana" w:hAnsi="Verdana"/>
          <w:b w:val="false"/>
          <w:bCs w:val="false"/>
          <w:sz w:val="20"/>
          <w:szCs w:val="20"/>
        </w:rPr>
        <w:t>2.4. Considerando que para manter um atendimento ao Programa Nacional de Alimentação Escolar com 200 dias letivos com fornecimento de gêneros perecíveis, incluindo verduras e legumes, conforme a discriminação dos itens, faz se necessária a aquisição.</w:t>
      </w:r>
    </w:p>
    <w:p>
      <w:pPr>
        <w:pStyle w:val="Nivel1"/>
        <w:spacing w:lineRule="auto" w:line="276" w:before="57" w:after="57"/>
        <w:ind w:hanging="0" w:left="0" w:right="0"/>
        <w:rPr>
          <w:rFonts w:ascii="Verdana" w:hAnsi="Verdana"/>
          <w:sz w:val="20"/>
          <w:szCs w:val="20"/>
        </w:rPr>
      </w:pPr>
      <w:r>
        <w:rPr>
          <w:rFonts w:ascii="Verdana" w:hAnsi="Verdana"/>
          <w:sz w:val="20"/>
          <w:szCs w:val="20"/>
        </w:rPr>
      </w:r>
    </w:p>
    <w:p>
      <w:pPr>
        <w:pStyle w:val="Nivel1"/>
        <w:spacing w:lineRule="auto" w:line="276" w:before="57" w:after="57"/>
        <w:ind w:hanging="0" w:left="0" w:right="0"/>
        <w:rPr>
          <w:rFonts w:ascii="Verdana" w:hAnsi="Verdana"/>
          <w:sz w:val="20"/>
          <w:szCs w:val="20"/>
        </w:rPr>
      </w:pPr>
      <w:r>
        <w:rPr>
          <w:rFonts w:ascii="Verdana" w:hAnsi="Verdana"/>
          <w:bCs/>
          <w:sz w:val="20"/>
          <w:szCs w:val="20"/>
        </w:rPr>
        <w:t>3</w:t>
      </w:r>
      <w:r>
        <w:rPr>
          <w:rFonts w:ascii="Verdana" w:hAnsi="Verdana"/>
          <w:sz w:val="20"/>
          <w:szCs w:val="20"/>
        </w:rPr>
        <w:t>. DESCRIÇÃO DA SOLUÇÃO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3.1</w:t>
      </w:r>
      <w:r>
        <w:rPr>
          <w:rFonts w:cs="Arial" w:ascii="Verdana" w:hAnsi="Verdana"/>
          <w:i w:val="false"/>
          <w:iCs w:val="false"/>
          <w:color w:val="000000"/>
          <w:sz w:val="20"/>
          <w:szCs w:val="20"/>
        </w:rPr>
        <w:t xml:space="preserve"> A descrição da solução como um todo, encontra-se pormenorizada em tópico específico dos Estudos Técnicos Preliminares, apêndice deste Termo de Referência.</w:t>
      </w:r>
    </w:p>
    <w:p>
      <w:pPr>
        <w:pStyle w:val="Normal"/>
        <w:spacing w:lineRule="auto" w:line="276" w:before="57" w:after="57"/>
        <w:ind w:hanging="0" w:left="0" w:right="0"/>
        <w:jc w:val="both"/>
        <w:rPr>
          <w:rFonts w:ascii="Verdana" w:hAnsi="Verdana" w:cs="Arial"/>
          <w:i w:val="false"/>
          <w:i w:val="false"/>
          <w:iCs w:val="false"/>
          <w:color w:val="000000"/>
          <w:sz w:val="20"/>
          <w:szCs w:val="20"/>
        </w:rPr>
      </w:pPr>
      <w:r>
        <w:rPr>
          <w:rFonts w:cs="Arial" w:ascii="Verdana" w:hAnsi="Verdana"/>
          <w:i w:val="false"/>
          <w:iCs w:val="false"/>
          <w:color w:val="000000"/>
          <w:sz w:val="20"/>
          <w:szCs w:val="20"/>
        </w:rPr>
      </w:r>
    </w:p>
    <w:p>
      <w:pPr>
        <w:pStyle w:val="Nivel1"/>
        <w:spacing w:lineRule="auto" w:line="276" w:before="57" w:after="57"/>
        <w:ind w:hanging="0" w:left="0" w:right="0"/>
        <w:rPr>
          <w:rFonts w:ascii="Verdana" w:hAnsi="Verdana"/>
          <w:sz w:val="20"/>
          <w:szCs w:val="20"/>
        </w:rPr>
      </w:pPr>
      <w:r>
        <w:rPr>
          <w:rFonts w:cs="Times New Roman" w:ascii="Verdana" w:hAnsi="Verdana"/>
          <w:bCs/>
          <w:sz w:val="20"/>
          <w:szCs w:val="20"/>
        </w:rPr>
        <w:t>4. REQUISITOS DA CONTRATAÇÃO</w:t>
      </w:r>
    </w:p>
    <w:p>
      <w:pPr>
        <w:pStyle w:val="ListParagraph"/>
        <w:suppressAutoHyphens w:val="false"/>
        <w:spacing w:lineRule="auto" w:line="276" w:before="57" w:after="57"/>
        <w:ind w:hanging="0" w:left="0" w:right="0"/>
        <w:contextualSpacing w:val="false"/>
        <w:jc w:val="both"/>
        <w:rPr>
          <w:rFonts w:ascii="Verdana" w:hAnsi="Verdana"/>
          <w:sz w:val="20"/>
          <w:szCs w:val="20"/>
        </w:rPr>
      </w:pPr>
      <w:r>
        <w:rPr>
          <w:rFonts w:ascii="Verdana" w:hAnsi="Verdana"/>
          <w:b w:val="false"/>
          <w:bCs w:val="false"/>
          <w:sz w:val="20"/>
          <w:szCs w:val="20"/>
        </w:rPr>
        <w:t>4.1</w:t>
      </w:r>
      <w:r>
        <w:rPr>
          <w:rFonts w:ascii="Verdana" w:hAnsi="Verdana"/>
          <w:b/>
          <w:bCs/>
          <w:sz w:val="20"/>
          <w:szCs w:val="20"/>
        </w:rPr>
        <w:t xml:space="preserve">. </w:t>
      </w:r>
      <w:r>
        <w:rPr>
          <w:rFonts w:ascii="Verdana" w:hAnsi="Verdana"/>
          <w:sz w:val="20"/>
          <w:szCs w:val="20"/>
        </w:rPr>
        <w:t>A contratação deverá observar os seguintes requisitos:</w:t>
      </w:r>
    </w:p>
    <w:p>
      <w:pPr>
        <w:pStyle w:val="Normal"/>
        <w:tabs>
          <w:tab w:val="clear" w:pos="708"/>
          <w:tab w:val="left" w:pos="206" w:leader="none"/>
          <w:tab w:val="left" w:pos="563" w:leader="none"/>
        </w:tabs>
        <w:suppressAutoHyphens w:val="false"/>
        <w:spacing w:lineRule="auto" w:line="276" w:before="57" w:after="57"/>
        <w:ind w:hanging="0" w:left="0" w:right="0"/>
        <w:jc w:val="both"/>
        <w:rPr>
          <w:rFonts w:ascii="Verdana" w:hAnsi="Verdana"/>
          <w:sz w:val="20"/>
          <w:szCs w:val="20"/>
        </w:rPr>
      </w:pPr>
      <w:r>
        <w:rPr>
          <w:rFonts w:ascii="Verdana" w:hAnsi="Verdana"/>
          <w:b w:val="false"/>
          <w:bCs w:val="false"/>
          <w:sz w:val="20"/>
          <w:szCs w:val="20"/>
        </w:rPr>
        <w:t>4.2.</w:t>
      </w:r>
      <w:r>
        <w:rPr>
          <w:rFonts w:ascii="Verdana" w:hAnsi="Verdana"/>
          <w:sz w:val="20"/>
          <w:szCs w:val="20"/>
        </w:rPr>
        <w:t xml:space="preserve"> Não haverá danos ao meio ambiente, uma vez que a aquisição não gerará tal problema para a Administração Pública.</w:t>
      </w:r>
    </w:p>
    <w:p>
      <w:pPr>
        <w:pStyle w:val="ListParagraph"/>
        <w:tabs>
          <w:tab w:val="clear" w:pos="708"/>
          <w:tab w:val="left" w:pos="450" w:leader="none"/>
        </w:tabs>
        <w:suppressAutoHyphens w:val="false"/>
        <w:spacing w:lineRule="auto" w:line="276" w:before="57" w:after="57"/>
        <w:ind w:hanging="0" w:left="0" w:right="0"/>
        <w:contextualSpacing w:val="false"/>
        <w:jc w:val="both"/>
        <w:rPr>
          <w:rFonts w:ascii="Verdana" w:hAnsi="Verdana"/>
          <w:sz w:val="20"/>
          <w:szCs w:val="20"/>
        </w:rPr>
      </w:pPr>
      <w:r>
        <w:rPr>
          <w:rFonts w:ascii="Verdana" w:hAnsi="Verdana"/>
          <w:b w:val="false"/>
          <w:bCs w:val="false"/>
          <w:i w:val="false"/>
          <w:iCs w:val="false"/>
          <w:sz w:val="20"/>
          <w:szCs w:val="20"/>
        </w:rPr>
        <w:t xml:space="preserve">4.3. A aquisição se dará por  </w:t>
      </w:r>
      <w:r>
        <w:rPr>
          <w:rFonts w:eastAsia="Times New Roman" w:cs="Times New Roman" w:ascii="Verdana" w:hAnsi="Verdana"/>
          <w:b w:val="false"/>
          <w:bCs w:val="false"/>
          <w:i w:val="false"/>
          <w:iCs w:val="false"/>
          <w:sz w:val="20"/>
          <w:szCs w:val="20"/>
        </w:rPr>
        <w:t>meio de pregão eletrônico</w:t>
      </w:r>
      <w:r>
        <w:rPr>
          <w:rFonts w:ascii="Verdana" w:hAnsi="Verdana"/>
          <w:b w:val="false"/>
          <w:bCs w:val="false"/>
          <w:i w:val="false"/>
          <w:iCs w:val="false"/>
          <w:sz w:val="20"/>
          <w:szCs w:val="20"/>
        </w:rPr>
        <w:t xml:space="preserve">, com entrega </w:t>
      </w:r>
      <w:r>
        <w:rPr>
          <w:rFonts w:eastAsia="Times New Roman" w:cs="Times New Roman" w:ascii="Verdana" w:hAnsi="Verdana"/>
          <w:b w:val="false"/>
          <w:bCs w:val="false"/>
          <w:i w:val="false"/>
          <w:iCs w:val="false"/>
          <w:sz w:val="20"/>
          <w:szCs w:val="20"/>
        </w:rPr>
        <w:t>parcelada</w:t>
      </w:r>
      <w:r>
        <w:rPr>
          <w:rFonts w:ascii="Verdana" w:hAnsi="Verdana"/>
          <w:b w:val="false"/>
          <w:bCs w:val="false"/>
          <w:i w:val="false"/>
          <w:iCs w:val="false"/>
          <w:sz w:val="20"/>
          <w:szCs w:val="20"/>
        </w:rPr>
        <w:t xml:space="preserve"> por parte do fornecedor contratado (conforme cronograma anexado no contrato), sendo sagrado vencedor, o fornecedor que apresentar o menor valor do item a ser adquirido.</w:t>
      </w:r>
    </w:p>
    <w:p>
      <w:pPr>
        <w:pStyle w:val="Normal"/>
        <w:shd w:val="clear" w:fill="FFFFFF"/>
        <w:suppressAutoHyphens w:val="false"/>
        <w:spacing w:lineRule="auto" w:line="276" w:before="57" w:after="57"/>
        <w:ind w:hanging="0" w:left="0" w:right="0"/>
        <w:jc w:val="both"/>
        <w:rPr>
          <w:rFonts w:ascii="Verdana" w:hAnsi="Verdana"/>
          <w:sz w:val="20"/>
          <w:szCs w:val="20"/>
        </w:rPr>
      </w:pPr>
      <w:r>
        <w:rPr>
          <w:rFonts w:eastAsia="Calibri" w:ascii="Verdana" w:hAnsi="Verdana"/>
          <w:b w:val="false"/>
          <w:bCs w:val="false"/>
          <w:sz w:val="20"/>
          <w:szCs w:val="20"/>
          <w:shd w:fill="FFFFFF" w:val="clear"/>
        </w:rPr>
        <w:t>4.4.</w:t>
      </w:r>
      <w:r>
        <w:rPr>
          <w:rFonts w:eastAsia="Calibri" w:ascii="Verdana" w:hAnsi="Verdana"/>
          <w:sz w:val="20"/>
          <w:szCs w:val="20"/>
          <w:shd w:fill="FFFFFF" w:val="clear"/>
        </w:rPr>
        <w:t xml:space="preserve"> A empresa fornecedora deverá entregar </w:t>
      </w:r>
      <w:r>
        <w:rPr>
          <w:rFonts w:eastAsia="Calibri" w:cs="Times New Roman" w:ascii="Verdana" w:hAnsi="Verdana"/>
          <w:sz w:val="20"/>
          <w:szCs w:val="20"/>
          <w:shd w:fill="FFFFFF" w:val="clear"/>
        </w:rPr>
        <w:t>os gêneros alimentícios</w:t>
      </w:r>
      <w:r>
        <w:rPr>
          <w:rFonts w:eastAsia="Calibri" w:ascii="Verdana" w:hAnsi="Verdana"/>
          <w:sz w:val="20"/>
          <w:szCs w:val="20"/>
          <w:shd w:fill="FFFFFF" w:val="clear"/>
        </w:rPr>
        <w:t xml:space="preserve"> de qualidade de acordo com as especificações apresentadas no contrato e </w:t>
      </w:r>
      <w:r>
        <w:rPr>
          <w:rFonts w:ascii="Verdana" w:hAnsi="Verdana"/>
          <w:sz w:val="20"/>
          <w:szCs w:val="20"/>
        </w:rPr>
        <w:t xml:space="preserve">na autorização de fornecimento/execução e </w:t>
      </w:r>
      <w:r>
        <w:rPr>
          <w:rFonts w:eastAsia="Calibri" w:ascii="Verdana" w:hAnsi="Verdana"/>
          <w:sz w:val="20"/>
          <w:szCs w:val="20"/>
          <w:shd w:fill="FFFFFF" w:val="clear"/>
        </w:rPr>
        <w:t xml:space="preserve">em perfeitas condições </w:t>
      </w:r>
      <w:r>
        <w:rPr>
          <w:rFonts w:eastAsia="Calibri" w:cs="Times New Roman" w:ascii="Verdana" w:hAnsi="Verdana"/>
          <w:sz w:val="20"/>
          <w:szCs w:val="20"/>
          <w:shd w:fill="FFFFFF" w:val="clear"/>
        </w:rPr>
        <w:t>de uso.</w:t>
      </w:r>
      <w:r>
        <w:rPr>
          <w:rFonts w:eastAsia="Calibri" w:ascii="Verdana" w:hAnsi="Verdana"/>
          <w:b w:val="false"/>
          <w:bCs w:val="false"/>
          <w:sz w:val="20"/>
          <w:szCs w:val="20"/>
          <w:shd w:fill="FFFFFF" w:val="clear"/>
        </w:rPr>
        <w:t xml:space="preserve">4.5. </w:t>
      </w:r>
      <w:r>
        <w:rPr>
          <w:rFonts w:eastAsia="Calibri" w:cs="Times New Roman" w:ascii="Verdana" w:hAnsi="Verdana"/>
          <w:sz w:val="20"/>
          <w:szCs w:val="20"/>
          <w:shd w:fill="FFFFFF" w:val="clear"/>
        </w:rPr>
        <w:t>Os insumos necessários às embalagens e a entregas serão fornecidos pela contratada.</w:t>
      </w:r>
      <w:r>
        <w:rPr>
          <w:rFonts w:ascii="Verdana" w:hAnsi="Verdana"/>
          <w:b w:val="false"/>
          <w:bCs w:val="false"/>
          <w:sz w:val="20"/>
          <w:szCs w:val="20"/>
        </w:rPr>
        <w:t>4.6.</w:t>
      </w:r>
      <w:r>
        <w:rPr>
          <w:rFonts w:ascii="Verdana" w:hAnsi="Verdana"/>
          <w:sz w:val="20"/>
          <w:szCs w:val="20"/>
        </w:rPr>
        <w:t xml:space="preserve"> A empresa </w:t>
      </w:r>
      <w:r>
        <w:rPr>
          <w:rFonts w:eastAsia="Times New Roman" w:cs="Times New Roman" w:ascii="Verdana" w:hAnsi="Verdana"/>
          <w:sz w:val="20"/>
          <w:szCs w:val="20"/>
        </w:rPr>
        <w:t>ganhadora</w:t>
      </w:r>
      <w:r>
        <w:rPr>
          <w:rFonts w:ascii="Verdana" w:hAnsi="Verdana"/>
          <w:sz w:val="20"/>
          <w:szCs w:val="20"/>
        </w:rPr>
        <w:t xml:space="preserve"> deverá entregar os </w:t>
      </w:r>
      <w:r>
        <w:rPr>
          <w:rFonts w:eastAsia="Times New Roman" w:cs="Times New Roman" w:ascii="Verdana" w:hAnsi="Verdana"/>
          <w:sz w:val="20"/>
          <w:szCs w:val="20"/>
        </w:rPr>
        <w:t>gêneros alimentícios</w:t>
      </w:r>
      <w:r>
        <w:rPr>
          <w:rFonts w:ascii="Verdana" w:hAnsi="Verdana"/>
          <w:sz w:val="20"/>
          <w:szCs w:val="20"/>
        </w:rPr>
        <w:t xml:space="preserve"> na data estipulada no cronograma anexado ao contrato emitido pelo Departamento de Compras e Contratos.</w:t>
      </w:r>
    </w:p>
    <w:p>
      <w:pPr>
        <w:pStyle w:val="ListParagraph"/>
        <w:spacing w:lineRule="auto" w:line="276" w:before="57" w:after="57"/>
        <w:ind w:hanging="0" w:left="0" w:right="0"/>
        <w:contextualSpacing w:val="false"/>
        <w:jc w:val="both"/>
        <w:rPr>
          <w:rFonts w:ascii="Verdana" w:hAnsi="Verdana"/>
          <w:sz w:val="20"/>
          <w:szCs w:val="20"/>
        </w:rPr>
      </w:pPr>
      <w:r>
        <w:rPr>
          <w:rFonts w:ascii="Verdana" w:hAnsi="Verdana"/>
          <w:b w:val="false"/>
          <w:bCs w:val="false"/>
          <w:sz w:val="20"/>
          <w:szCs w:val="20"/>
        </w:rPr>
        <w:t>4.7</w:t>
      </w:r>
      <w:r>
        <w:rPr>
          <w:rFonts w:ascii="Verdana" w:hAnsi="Verdana"/>
          <w:b/>
          <w:bCs/>
          <w:sz w:val="20"/>
          <w:szCs w:val="20"/>
        </w:rPr>
        <w:t>.</w:t>
      </w:r>
      <w:r>
        <w:rPr>
          <w:rFonts w:ascii="Verdana" w:hAnsi="Verdana"/>
          <w:sz w:val="20"/>
          <w:szCs w:val="20"/>
        </w:rPr>
        <w:t xml:space="preserve"> Não será admitida a subcontratação do objeto contratual.</w:t>
      </w:r>
    </w:p>
    <w:p>
      <w:pPr>
        <w:pStyle w:val="ListParagraph"/>
        <w:spacing w:lineRule="auto" w:line="276" w:before="57" w:after="57"/>
        <w:ind w:hanging="0" w:left="0" w:right="0"/>
        <w:contextualSpacing w:val="false"/>
        <w:jc w:val="both"/>
        <w:rPr>
          <w:rFonts w:ascii="Verdana" w:hAnsi="Verdana"/>
          <w:sz w:val="20"/>
          <w:szCs w:val="20"/>
        </w:rPr>
      </w:pPr>
      <w:r>
        <w:rPr>
          <w:rFonts w:cs="Arial" w:ascii="Verdana" w:hAnsi="Verdana"/>
          <w:b w:val="false"/>
          <w:bCs w:val="false"/>
          <w:i w:val="false"/>
          <w:iCs w:val="false"/>
          <w:color w:val="000000"/>
          <w:sz w:val="20"/>
          <w:szCs w:val="20"/>
        </w:rPr>
        <w:t>4.9.</w:t>
      </w:r>
      <w:r>
        <w:rPr>
          <w:rFonts w:cs="Arial" w:ascii="Verdana" w:hAnsi="Verdana"/>
          <w:i w:val="false"/>
          <w:iCs w:val="false"/>
          <w:color w:val="000000"/>
          <w:sz w:val="20"/>
          <w:szCs w:val="20"/>
        </w:rPr>
        <w:t xml:space="preserve"> Não haverá exigência da garantia da contratação.</w:t>
      </w:r>
    </w:p>
    <w:p>
      <w:pPr>
        <w:pStyle w:val="ListParagraph"/>
        <w:spacing w:lineRule="auto" w:line="276" w:before="57" w:after="57"/>
        <w:ind w:hanging="0" w:left="0" w:right="0"/>
        <w:contextualSpacing w:val="false"/>
        <w:jc w:val="both"/>
        <w:rPr>
          <w:rFonts w:ascii="Verdana" w:hAnsi="Verdana" w:cs="Arial"/>
          <w:b/>
          <w:sz w:val="20"/>
          <w:szCs w:val="20"/>
          <w:u w:val="single"/>
        </w:rPr>
      </w:pPr>
      <w:r>
        <w:rPr>
          <w:rFonts w:cs="Arial" w:ascii="Verdana" w:hAnsi="Verdana"/>
          <w:b/>
          <w:sz w:val="20"/>
          <w:szCs w:val="20"/>
          <w:u w:val="single"/>
        </w:rPr>
      </w:r>
    </w:p>
    <w:p>
      <w:pPr>
        <w:pStyle w:val="Nivel1"/>
        <w:suppressAutoHyphens w:val="true"/>
        <w:spacing w:lineRule="auto" w:line="276" w:before="57" w:after="57"/>
        <w:ind w:hanging="0" w:left="0" w:right="0"/>
        <w:rPr>
          <w:rFonts w:ascii="Verdana" w:hAnsi="Verdana"/>
          <w:sz w:val="20"/>
          <w:szCs w:val="20"/>
        </w:rPr>
      </w:pPr>
      <w:r>
        <w:rPr>
          <w:rFonts w:ascii="Verdana" w:hAnsi="Verdana"/>
          <w:i w:val="false"/>
          <w:iCs w:val="false"/>
          <w:sz w:val="20"/>
          <w:szCs w:val="20"/>
        </w:rPr>
        <w:t>5. ENTREGA E CRITÉRIOS DE ACEITAÇÃO DO OBJETO.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5.1 Os gêneros perecíveis deverão ser apresentados no depósito do SEMAE, localizado na Rua Manoel Inácio da Silva, nº 247, Bairro São Vicente, nesta cidade, acompanhado da Nota Fiscal para avaliação da qualidade e conferência do item com a descrição solicitada no Edital de Licitação; após, serão liberados para serem entregues diretamente nas escolas conforme cronogramas de entrega;</w:t>
      </w:r>
    </w:p>
    <w:p>
      <w:pPr>
        <w:pStyle w:val="Normal"/>
        <w:widowControl/>
        <w:suppressAutoHyphens w:val="true"/>
        <w:overflowPunct w:val="true"/>
        <w:bidi w:val="0"/>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5.2 Os gêneros não perecíveis deverão ser entregues diretamente no depósito do SEMAE, localizado na Rua Manoel Inácio da Silva, nº 247, Bairro São Vicente, nesta cidade, junto a Nota Fiscal conforme cronograma de entrega.</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5.3 A entrega deverá ocorrer sem qualquer ônus adicional, bem como a descarga e todas as demais despesas provenientes da mesma.</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5.4 A Empresa vencedora garantirá a qualidade dos materiais obrigando-se a repor aquele que apresentar defeito ou for entregue em desacordo com o apresentado na proposta.</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5.5 Os itens deverão ser entregues dentro do horário de expediente do setor de alimentação escolar e das escolas sendo de 7 h as 17 h, observando feriados e pontos facultativos.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 xml:space="preserve">5.6 A Empresa vencedora garantirá a qualidade dos itens obrigando-se a repor aquele que apresentar defeito ou for entregue em desacordo com o apresentado na proposta; </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5.7 O material deverá ser entregue nas mesmas marcas indicadas nas propostas de preços vencedoras do certame e especificações constantes nas solicitações de compras.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5.8 O recebimento provisório do material entregue dar-se-á pela conferência com a descrição constante da ordem de fornecimento ou serviço;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5.9 O recebimento definitivo ocorrerá com a verificação integral de todos os itens e características do produto fornecido pela CONTRATADA;</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5.10 O recebimento definitivo não isenta a CONTRATADA de responsabilidades futuras quanto à qualidade dos fornecimentos e serviços prestados.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5.11 O recebimento provisório dos produtos não implica aceitação dos mesmos;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5.12 Os produtos que não estiverem de acordo com as especificações exigidas, apresentem vicio de qualidade ou impropriedade para o uso, serão recusadas e devolvidas parcial ou totalmente, conforme caso, ficando a CONTRATADA, obrigada a substitui-los no prazo de 5 (cinco) dias úteis, contadas do recebimento da notificação escrita, sob pena de incorrer em atraso quanto ao prazo de execução;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5.13 Havendo erro na Nota Fiscal ou outra circunstância impeditiva, o recebimento definitivo será suspenso, até que a empresa tome as medidas saneadoras necessárias;</w:t>
      </w:r>
    </w:p>
    <w:p>
      <w:pPr>
        <w:pStyle w:val="Normal"/>
        <w:spacing w:lineRule="auto" w:line="276" w:before="57" w:after="57"/>
        <w:ind w:hanging="0" w:left="0" w:right="0"/>
        <w:jc w:val="both"/>
        <w:rPr>
          <w:rFonts w:ascii="Verdana" w:hAnsi="Verdana"/>
          <w:sz w:val="20"/>
          <w:szCs w:val="20"/>
        </w:rPr>
      </w:pPr>
      <w:r>
        <w:rPr>
          <w:rFonts w:cs="Arial" w:ascii="Verdana" w:hAnsi="Verdana"/>
          <w:b/>
          <w:bCs/>
          <w:sz w:val="20"/>
          <w:szCs w:val="20"/>
        </w:rPr>
        <w:t>5.14. DAS AMOSTRAS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5.1. As amostras deverão ser apresentadas em no Máximo 2 (dois) dias úteis após o certame licitatório, podendo o prazo ser prorrogado ou a entrega ser dispensada, a pedido da contratante, desde que através de solicitação devidamente justificada e aceita;</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5.2. Os produtos apresentados como amostras poderão ser abertos, manuseados e consumidos;</w:t>
      </w:r>
    </w:p>
    <w:p>
      <w:pPr>
        <w:pStyle w:val="Normal"/>
        <w:suppressAutoHyphens w:val="false"/>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5.3. A amostra apresentada, não será em hipótese alguma, considerada como início de entrega dos gêneros;</w:t>
      </w:r>
    </w:p>
    <w:p>
      <w:pPr>
        <w:pStyle w:val="Normal"/>
        <w:suppressAutoHyphens w:val="false"/>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5.4. As amostras serão avaliadas pela Comissão do Núcleo de Promoção da Qualidade da Alimentação Escolar, apresentado o resultado em laudo escrito.</w:t>
      </w:r>
    </w:p>
    <w:p>
      <w:pPr>
        <w:pStyle w:val="Normal"/>
        <w:spacing w:lineRule="auto" w:line="276" w:before="57" w:after="57"/>
        <w:ind w:hanging="0" w:left="0" w:right="0"/>
        <w:jc w:val="both"/>
        <w:rPr>
          <w:rFonts w:ascii="Verdana" w:hAnsi="Verdana"/>
          <w:sz w:val="20"/>
          <w:szCs w:val="20"/>
        </w:rPr>
      </w:pPr>
      <w:r>
        <w:rPr>
          <w:rFonts w:cs="Arial" w:ascii="Verdana" w:hAnsi="Verdana"/>
          <w:b/>
          <w:bCs/>
          <w:sz w:val="20"/>
          <w:szCs w:val="20"/>
        </w:rPr>
        <w:t xml:space="preserve">5.15. LOCAL DE ENTREGA </w:t>
      </w:r>
    </w:p>
    <w:p>
      <w:pPr>
        <w:pStyle w:val="Normal"/>
        <w:spacing w:lineRule="auto" w:line="276" w:before="57" w:after="57"/>
        <w:ind w:hanging="0" w:left="0" w:right="0"/>
        <w:jc w:val="both"/>
        <w:rPr>
          <w:rFonts w:ascii="Verdana" w:hAnsi="Verdana"/>
          <w:sz w:val="20"/>
          <w:szCs w:val="20"/>
        </w:rPr>
      </w:pPr>
      <w:r>
        <w:rPr>
          <w:rFonts w:cs="Arial" w:ascii="Verdana" w:hAnsi="Verdana"/>
          <w:bCs/>
          <w:sz w:val="20"/>
          <w:szCs w:val="20"/>
        </w:rPr>
        <w:t>- Rua: Manoel Inácio da Silva, Nº 247 – Bairro São Vicente</w:t>
      </w:r>
    </w:p>
    <w:p>
      <w:pPr>
        <w:pStyle w:val="Normal"/>
        <w:spacing w:lineRule="auto" w:line="276" w:before="57" w:after="57"/>
        <w:ind w:hanging="0" w:left="0" w:right="0"/>
        <w:jc w:val="both"/>
        <w:rPr>
          <w:rFonts w:ascii="Verdana" w:hAnsi="Verdana"/>
          <w:sz w:val="20"/>
          <w:szCs w:val="20"/>
        </w:rPr>
      </w:pPr>
      <w:r>
        <w:rPr>
          <w:rFonts w:cs="Arial" w:ascii="Verdana" w:hAnsi="Verdana"/>
          <w:bCs/>
          <w:sz w:val="20"/>
          <w:szCs w:val="20"/>
        </w:rPr>
        <w:t>SEMAE – Setor de Merenda Escolar.</w:t>
      </w:r>
    </w:p>
    <w:p>
      <w:pPr>
        <w:pStyle w:val="Normal"/>
        <w:spacing w:lineRule="auto" w:line="276" w:before="57" w:after="57"/>
        <w:ind w:hanging="0" w:left="0" w:right="0"/>
        <w:jc w:val="both"/>
        <w:rPr>
          <w:rFonts w:ascii="Verdana" w:hAnsi="Verdana"/>
          <w:sz w:val="20"/>
          <w:szCs w:val="20"/>
        </w:rPr>
      </w:pPr>
      <w:r>
        <w:rPr>
          <w:rFonts w:cs="Arial" w:ascii="Verdana" w:hAnsi="Verdana"/>
          <w:bCs/>
          <w:sz w:val="20"/>
          <w:szCs w:val="20"/>
        </w:rPr>
        <w:t>São Gabriel da Palha – ES</w:t>
      </w:r>
    </w:p>
    <w:p>
      <w:pPr>
        <w:pStyle w:val="Normal"/>
        <w:spacing w:lineRule="auto" w:line="276" w:before="57" w:after="57"/>
        <w:ind w:hanging="0" w:left="0" w:right="0"/>
        <w:jc w:val="both"/>
        <w:rPr>
          <w:rFonts w:ascii="Verdana" w:hAnsi="Verdana"/>
          <w:sz w:val="20"/>
          <w:szCs w:val="20"/>
        </w:rPr>
      </w:pPr>
      <w:r>
        <w:rPr>
          <w:rFonts w:cs="Arial" w:ascii="Verdana" w:hAnsi="Verdana"/>
          <w:bCs/>
          <w:sz w:val="20"/>
          <w:szCs w:val="20"/>
        </w:rPr>
        <w:t>CEP 29.7800-000</w:t>
      </w:r>
    </w:p>
    <w:p>
      <w:pPr>
        <w:pStyle w:val="Normal"/>
        <w:spacing w:lineRule="auto" w:line="276" w:before="57" w:after="57"/>
        <w:ind w:hanging="0" w:left="0" w:right="0"/>
        <w:jc w:val="both"/>
        <w:rPr>
          <w:rFonts w:ascii="Verdana" w:hAnsi="Verdana"/>
          <w:sz w:val="20"/>
          <w:szCs w:val="20"/>
        </w:rPr>
      </w:pPr>
      <w:r>
        <w:rPr>
          <w:rFonts w:cs="Arial" w:ascii="Verdana" w:hAnsi="Verdana"/>
          <w:b/>
          <w:sz w:val="20"/>
          <w:szCs w:val="20"/>
        </w:rPr>
        <w:t>5.16. CONTATO</w:t>
      </w:r>
    </w:p>
    <w:p>
      <w:pPr>
        <w:pStyle w:val="Normal"/>
        <w:spacing w:lineRule="auto" w:line="276" w:before="57" w:after="57"/>
        <w:ind w:hanging="0" w:left="0" w:right="0"/>
        <w:jc w:val="both"/>
        <w:rPr>
          <w:rFonts w:ascii="Verdana" w:hAnsi="Verdana"/>
          <w:sz w:val="20"/>
          <w:szCs w:val="20"/>
        </w:rPr>
      </w:pPr>
      <w:r>
        <w:rPr>
          <w:rFonts w:cs="Arial" w:ascii="Verdana" w:hAnsi="Verdana"/>
          <w:b/>
          <w:sz w:val="20"/>
          <w:szCs w:val="20"/>
        </w:rPr>
        <w:t xml:space="preserve">Tel: </w:t>
      </w:r>
      <w:r>
        <w:rPr>
          <w:rFonts w:cs="Arial" w:ascii="Verdana" w:hAnsi="Verdana"/>
          <w:sz w:val="20"/>
          <w:szCs w:val="20"/>
        </w:rPr>
        <w:t>27 3727-3993</w:t>
      </w:r>
    </w:p>
    <w:p>
      <w:pPr>
        <w:pStyle w:val="Normal"/>
        <w:spacing w:lineRule="auto" w:line="276" w:before="57" w:after="57"/>
        <w:ind w:hanging="0" w:left="0" w:right="0"/>
        <w:jc w:val="both"/>
        <w:rPr>
          <w:rFonts w:ascii="Verdana" w:hAnsi="Verdana"/>
          <w:sz w:val="20"/>
          <w:szCs w:val="20"/>
        </w:rPr>
      </w:pPr>
      <w:r>
        <w:rPr>
          <w:rFonts w:cs="Arial" w:ascii="Verdana" w:hAnsi="Verdana"/>
          <w:b/>
          <w:sz w:val="20"/>
          <w:szCs w:val="20"/>
        </w:rPr>
        <w:t xml:space="preserve">Email: </w:t>
      </w:r>
      <w:r>
        <w:rPr>
          <w:rFonts w:cs="Arial" w:ascii="Verdana" w:hAnsi="Verdana"/>
          <w:sz w:val="20"/>
          <w:szCs w:val="20"/>
        </w:rPr>
        <w:t>financeirosemecsgp@gmail.com</w:t>
      </w:r>
    </w:p>
    <w:p>
      <w:pPr>
        <w:pStyle w:val="Normal"/>
        <w:spacing w:lineRule="auto" w:line="276" w:before="57" w:after="57"/>
        <w:ind w:hanging="0" w:left="0" w:right="0"/>
        <w:jc w:val="both"/>
        <w:rPr>
          <w:rFonts w:ascii="Verdana" w:hAnsi="Verdana"/>
          <w:sz w:val="20"/>
          <w:szCs w:val="20"/>
        </w:rPr>
      </w:pPr>
      <w:r>
        <w:rPr>
          <w:rFonts w:cs="Arial" w:ascii="Verdana" w:hAnsi="Verdana"/>
          <w:b/>
          <w:bCs w:val="false"/>
          <w:sz w:val="20"/>
          <w:szCs w:val="20"/>
        </w:rPr>
        <w:t xml:space="preserve">Responsável: </w:t>
      </w:r>
      <w:r>
        <w:rPr>
          <w:rFonts w:cs="Arial" w:ascii="Verdana" w:hAnsi="Verdana"/>
          <w:b w:val="false"/>
          <w:bCs w:val="false"/>
          <w:sz w:val="20"/>
          <w:szCs w:val="20"/>
        </w:rPr>
        <w:t>Secretaria Municipal de Educação e SEMAE – Setor de Alimentação Escolar.</w:t>
      </w:r>
    </w:p>
    <w:p>
      <w:pPr>
        <w:pStyle w:val="Normal"/>
        <w:spacing w:lineRule="auto" w:line="276" w:before="57" w:after="57"/>
        <w:ind w:hanging="0" w:left="0" w:right="0"/>
        <w:jc w:val="both"/>
        <w:rPr>
          <w:rFonts w:ascii="Verdana" w:hAnsi="Verdana" w:cs="Arial"/>
          <w:b w:val="false"/>
          <w:bCs w:val="false"/>
          <w:i w:val="false"/>
          <w:i w:val="false"/>
          <w:iCs w:val="false"/>
          <w:color w:val="000000"/>
          <w:sz w:val="20"/>
          <w:szCs w:val="20"/>
        </w:rPr>
      </w:pPr>
      <w:r>
        <w:rPr>
          <w:rFonts w:cs="Arial" w:ascii="Verdana" w:hAnsi="Verdana"/>
          <w:b w:val="false"/>
          <w:bCs w:val="false"/>
          <w:i w:val="false"/>
          <w:iCs w:val="false"/>
          <w:color w:val="000000"/>
          <w:sz w:val="20"/>
          <w:szCs w:val="20"/>
        </w:rPr>
      </w:r>
    </w:p>
    <w:p>
      <w:pPr>
        <w:pStyle w:val="Normal"/>
        <w:spacing w:lineRule="auto" w:line="276" w:before="57" w:after="57"/>
        <w:ind w:hanging="0" w:left="0" w:right="0"/>
        <w:jc w:val="both"/>
        <w:rPr>
          <w:rFonts w:ascii="Verdana" w:hAnsi="Verdana"/>
          <w:sz w:val="20"/>
          <w:szCs w:val="20"/>
        </w:rPr>
      </w:pPr>
      <w:r>
        <w:rPr>
          <w:rFonts w:cs="Arial" w:ascii="Verdana" w:hAnsi="Verdana"/>
          <w:b/>
          <w:bCs/>
          <w:i w:val="false"/>
          <w:iCs w:val="false"/>
          <w:color w:val="000000"/>
          <w:sz w:val="20"/>
          <w:szCs w:val="20"/>
        </w:rPr>
        <w:t>6. OBRIGAÇÕES DA CONTRATANTE</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6.1.</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Receber os objetos no prazo e condições estabelecidas neste Termo de Referência, no contrato e seus anexos.</w:t>
      </w:r>
    </w:p>
    <w:p>
      <w:pPr>
        <w:pStyle w:val="Normal"/>
        <w:spacing w:lineRule="auto" w:line="276" w:before="57" w:after="57"/>
        <w:ind w:hanging="0" w:left="0" w:right="0"/>
        <w:jc w:val="both"/>
        <w:rPr>
          <w:rFonts w:ascii="Verdana" w:hAnsi="Verdana"/>
          <w:sz w:val="20"/>
          <w:szCs w:val="20"/>
        </w:rPr>
      </w:pPr>
      <w:r>
        <w:rPr>
          <w:rFonts w:ascii="Verdana" w:hAnsi="Verdana"/>
          <w:b w:val="false"/>
          <w:bCs w:val="false"/>
          <w:sz w:val="20"/>
          <w:szCs w:val="20"/>
        </w:rPr>
        <w:t>6</w:t>
      </w:r>
      <w:r>
        <w:rPr>
          <w:rFonts w:cs="Arial" w:ascii="Verdana" w:hAnsi="Verdana"/>
          <w:b w:val="false"/>
          <w:bCs w:val="false"/>
          <w:i w:val="false"/>
          <w:iCs w:val="false"/>
          <w:color w:val="000000"/>
          <w:sz w:val="20"/>
          <w:szCs w:val="20"/>
        </w:rPr>
        <w:t>.2</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Verificar minuciosamente, no prazo fixado, a conformidade dos </w:t>
      </w:r>
      <w:r>
        <w:rPr>
          <w:rFonts w:eastAsia="Times New Roman" w:cs="Arial" w:ascii="Verdana" w:hAnsi="Verdana"/>
          <w:b w:val="false"/>
          <w:bCs w:val="false"/>
          <w:i w:val="false"/>
          <w:iCs w:val="false"/>
          <w:color w:val="000000"/>
          <w:sz w:val="20"/>
          <w:szCs w:val="20"/>
        </w:rPr>
        <w:t>gêneros alimentícios</w:t>
      </w:r>
      <w:bookmarkStart w:id="1" w:name="page68R_mcid7"/>
      <w:r>
        <w:rPr>
          <w:rFonts w:cs="Arial" w:ascii="Verdana" w:hAnsi="Verdana"/>
          <w:b w:val="false"/>
          <w:bCs w:val="false"/>
          <w:i w:val="false"/>
          <w:iCs w:val="false"/>
          <w:color w:val="000000"/>
          <w:sz w:val="20"/>
          <w:szCs w:val="20"/>
        </w:rPr>
        <w:t xml:space="preserve"> provisoriamente com as especificações constantes neste Termo de Referência, da proposta e contrato para fins de aceitação e recebimento definitivo.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6.3. Comunicar à Contratada, por escrito, sobre imperfeições, falhas ou irregularidades verificadas no objeto fornecido, para que seja substituído, reparado ou corrigido.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6.4. Acompanhar e fiscalizar o cumprimento das obrigações da Contratada, através de comissão/servidor especialmente designado.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6.5. Efetuar o pagamento à Contratada no valor correspondente ao fornecimento dos  gêneros alimentícios, no prazo e forma estabelecidos neste Termo de Referência, seus anexos e contrato.</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6.6. </w:t>
      </w:r>
      <w:r>
        <w:rPr>
          <w:rFonts w:cs="Arial" w:ascii="Verdana" w:hAnsi="Verdana"/>
          <w:b w:val="false"/>
          <w:bCs w:val="false"/>
          <w:i w:val="false"/>
          <w:iCs w:val="false"/>
          <w:color w:val="000000"/>
          <w:sz w:val="20"/>
          <w:szCs w:val="20"/>
        </w:rPr>
        <w:t xml:space="preserve">A Administração não responderá por quaisquer compromissos assumidos pela Contratada com terceiros, ainda que vinculados à execução </w:t>
      </w:r>
      <w:r>
        <w:rPr>
          <w:rFonts w:eastAsia="Times New Roman" w:cs="Arial" w:ascii="Verdana" w:hAnsi="Verdana"/>
          <w:b w:val="false"/>
          <w:bCs w:val="false"/>
          <w:i w:val="false"/>
          <w:iCs w:val="false"/>
          <w:color w:val="000000"/>
          <w:sz w:val="20"/>
          <w:szCs w:val="20"/>
        </w:rPr>
        <w:t>do presente contrato</w:t>
      </w:r>
      <w:r>
        <w:rPr>
          <w:rFonts w:cs="Arial" w:ascii="Verdana" w:hAnsi="Verdana"/>
          <w:b w:val="false"/>
          <w:bCs w:val="false"/>
          <w:i w:val="false"/>
          <w:iCs w:val="false"/>
          <w:color w:val="000000"/>
          <w:sz w:val="20"/>
          <w:szCs w:val="20"/>
        </w:rPr>
        <w:t>, bem como por qualquer dano causado a terceiros em decorrência de ato da Contratada, de seus empregados, prepostos ou subordinados.</w:t>
      </w:r>
    </w:p>
    <w:p>
      <w:pPr>
        <w:pStyle w:val="Normal"/>
        <w:spacing w:lineRule="auto" w:line="276" w:before="57" w:after="57"/>
        <w:ind w:hanging="0" w:left="0" w:right="0"/>
        <w:jc w:val="both"/>
        <w:rPr>
          <w:rFonts w:ascii="Verdana" w:hAnsi="Verdana"/>
          <w:sz w:val="20"/>
          <w:szCs w:val="20"/>
        </w:rPr>
      </w:pPr>
      <w:r>
        <w:rPr>
          <w:rFonts w:ascii="Verdana" w:hAnsi="Verdana"/>
          <w:sz w:val="20"/>
          <w:szCs w:val="20"/>
        </w:rPr>
      </w:r>
    </w:p>
    <w:p>
      <w:pPr>
        <w:pStyle w:val="Normal"/>
        <w:spacing w:lineRule="auto" w:line="276" w:before="57" w:after="57"/>
        <w:ind w:hanging="0" w:left="0" w:right="0"/>
        <w:jc w:val="both"/>
        <w:rPr>
          <w:rFonts w:ascii="Verdana" w:hAnsi="Verdana"/>
          <w:sz w:val="20"/>
          <w:szCs w:val="20"/>
        </w:rPr>
      </w:pPr>
      <w:bookmarkStart w:id="2" w:name="page68R_mcid17"/>
      <w:bookmarkEnd w:id="2"/>
      <w:r>
        <w:rPr>
          <w:rFonts w:cs="Arial" w:ascii="Verdana" w:hAnsi="Verdana"/>
          <w:b/>
          <w:bCs/>
          <w:i w:val="false"/>
          <w:iCs w:val="false"/>
          <w:color w:val="000000"/>
          <w:sz w:val="20"/>
          <w:szCs w:val="20"/>
        </w:rPr>
        <w:t>7. OBRIGAÇÕES DA CONTRATADA</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7.1. A Contratada deve cumprir todas as obrigações constantes neste Termo de Referência, seus anexos, sua proposta e contrato, assumindo como exclusivamente seus os riscos e as despesas decorrentes da boa e perfeita execução do objeto.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7.2. Efetuar a entrega do objeto em perfeitas condições, conforme especificações, prazo e local constantes no Termo de Referência, seus anexos e contrato, acompanhado da respectiva nota fiscal, na qual constarão as indicações referentes a: marca, fabricante, modelo, procedência e prazo de validade.</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7.3. Responsabilizar-se pelos vícios e danos decorrentes do objeto.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7.4.</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Substituir, reparar ou corrigir, às suas expensas, no prazo fixado neste Termo de Referência, o objeto com avarias ou defeitos.</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7.5. </w:t>
      </w:r>
      <w:r>
        <w:rPr>
          <w:rFonts w:cs="Arial" w:ascii="Verdana" w:hAnsi="Verdana"/>
          <w:b w:val="false"/>
          <w:bCs w:val="false"/>
          <w:i w:val="false"/>
          <w:iCs w:val="false"/>
          <w:color w:val="000000"/>
          <w:sz w:val="20"/>
          <w:szCs w:val="20"/>
        </w:rPr>
        <w:t>Comunicar à Contratante, no prazo máximo de 12 (</w:t>
      </w:r>
      <w:r>
        <w:rPr>
          <w:rFonts w:eastAsia="Times New Roman" w:cs="Arial" w:ascii="Verdana" w:hAnsi="Verdana"/>
          <w:b w:val="false"/>
          <w:bCs w:val="false"/>
          <w:i w:val="false"/>
          <w:iCs w:val="false"/>
          <w:color w:val="000000"/>
          <w:sz w:val="20"/>
          <w:szCs w:val="20"/>
        </w:rPr>
        <w:t>doze</w:t>
      </w:r>
      <w:r>
        <w:rPr>
          <w:rFonts w:cs="Arial" w:ascii="Verdana" w:hAnsi="Verdana"/>
          <w:b w:val="false"/>
          <w:bCs w:val="false"/>
          <w:i w:val="false"/>
          <w:iCs w:val="false"/>
          <w:color w:val="000000"/>
          <w:sz w:val="20"/>
          <w:szCs w:val="20"/>
        </w:rPr>
        <w:t>) horas que antecede a data da entrega, os motivos que impossibilitem o cumprimento do prazo previsto, com a devida comprovação.</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7.6.</w:t>
      </w:r>
      <w:r>
        <w:rPr>
          <w:rFonts w:eastAsia="Times New Roman"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Manter, durante toda a execução </w:t>
      </w:r>
      <w:r>
        <w:rPr>
          <w:rFonts w:eastAsia="Times New Roman" w:cs="Arial" w:ascii="Verdana" w:hAnsi="Verdana"/>
          <w:b w:val="false"/>
          <w:bCs w:val="false"/>
          <w:i w:val="false"/>
          <w:iCs w:val="false"/>
          <w:color w:val="000000"/>
          <w:sz w:val="20"/>
          <w:szCs w:val="20"/>
        </w:rPr>
        <w:t>do contrato</w:t>
      </w:r>
      <w:r>
        <w:rPr>
          <w:rFonts w:cs="Arial" w:ascii="Verdana" w:hAnsi="Verdana"/>
          <w:b w:val="false"/>
          <w:bCs w:val="false"/>
          <w:i w:val="false"/>
          <w:iCs w:val="false"/>
          <w:color w:val="000000"/>
          <w:sz w:val="20"/>
          <w:szCs w:val="20"/>
        </w:rPr>
        <w:t xml:space="preserve">, em compatibilidade com as obrigações assumidas, todas as condições de habilitação e qualificação exigidas </w:t>
      </w:r>
      <w:r>
        <w:rPr>
          <w:rFonts w:eastAsia="Times New Roman" w:cs="Arial" w:ascii="Verdana" w:hAnsi="Verdana"/>
          <w:b w:val="false"/>
          <w:bCs w:val="false"/>
          <w:i w:val="false"/>
          <w:iCs w:val="false"/>
          <w:color w:val="000000"/>
          <w:sz w:val="20"/>
          <w:szCs w:val="20"/>
        </w:rPr>
        <w:t>no chamamento público</w:t>
      </w:r>
      <w:r>
        <w:rPr>
          <w:rFonts w:cs="Arial" w:ascii="Verdana" w:hAnsi="Verdana"/>
          <w:b w:val="false"/>
          <w:bCs w:val="false"/>
          <w:i w:val="false"/>
          <w:iCs w:val="false"/>
          <w:color w:val="000000"/>
          <w:sz w:val="20"/>
          <w:szCs w:val="20"/>
        </w:rPr>
        <w:t>.</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7.7. </w:t>
      </w:r>
      <w:r>
        <w:rPr>
          <w:rFonts w:cs="Arial" w:ascii="Verdana" w:hAnsi="Verdana"/>
          <w:b w:val="false"/>
          <w:bCs w:val="false"/>
          <w:i w:val="false"/>
          <w:iCs w:val="false"/>
          <w:color w:val="000000"/>
          <w:sz w:val="20"/>
          <w:szCs w:val="20"/>
        </w:rPr>
        <w:t xml:space="preserve">Indicar preposto para representá-la durante a execução da ata </w:t>
      </w:r>
      <w:r>
        <w:rPr>
          <w:rFonts w:eastAsia="Times New Roman" w:cs="Arial" w:ascii="Verdana" w:hAnsi="Verdana"/>
          <w:b w:val="false"/>
          <w:bCs w:val="false"/>
          <w:i w:val="false"/>
          <w:iCs w:val="false"/>
          <w:color w:val="000000"/>
          <w:sz w:val="20"/>
          <w:szCs w:val="20"/>
        </w:rPr>
        <w:t>contrato</w:t>
      </w:r>
      <w:r>
        <w:rPr>
          <w:rFonts w:cs="Arial" w:ascii="Verdana" w:hAnsi="Verdana"/>
          <w:b w:val="false"/>
          <w:bCs w:val="false"/>
          <w:i w:val="false"/>
          <w:iCs w:val="false"/>
          <w:color w:val="000000"/>
          <w:sz w:val="20"/>
          <w:szCs w:val="20"/>
        </w:rPr>
        <w:t>.</w:t>
      </w:r>
    </w:p>
    <w:p>
      <w:pPr>
        <w:pStyle w:val="Normal"/>
        <w:tabs>
          <w:tab w:val="clear" w:pos="708"/>
          <w:tab w:val="left" w:pos="450" w:leader="none"/>
        </w:tabs>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7.8.</w:t>
      </w:r>
      <w:r>
        <w:rPr>
          <w:rFonts w:eastAsia="Times New Roman"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7.9. Durante a execução d</w:t>
      </w:r>
      <w:r>
        <w:rPr>
          <w:rFonts w:eastAsia="Times New Roman" w:cs="Arial" w:ascii="Verdana" w:hAnsi="Verdana"/>
          <w:b w:val="false"/>
          <w:bCs w:val="false"/>
          <w:i w:val="false"/>
          <w:iCs w:val="false"/>
          <w:color w:val="000000"/>
          <w:sz w:val="20"/>
          <w:szCs w:val="20"/>
        </w:rPr>
        <w:t>o contrato</w:t>
      </w:r>
      <w:r>
        <w:rPr>
          <w:rFonts w:cs="Arial" w:ascii="Verdana" w:hAnsi="Verdana"/>
          <w:b w:val="false"/>
          <w:bCs w:val="false"/>
          <w:i w:val="false"/>
          <w:iCs w:val="false"/>
          <w:color w:val="000000"/>
          <w:sz w:val="20"/>
          <w:szCs w:val="20"/>
        </w:rPr>
        <w:t>, a CONTRATADA deverá:</w:t>
      </w:r>
    </w:p>
    <w:p>
      <w:pPr>
        <w:pStyle w:val="Normal"/>
        <w:tabs>
          <w:tab w:val="clear" w:pos="708"/>
          <w:tab w:val="left" w:pos="450" w:leader="none"/>
        </w:tabs>
        <w:spacing w:lineRule="auto" w:line="276" w:before="57" w:after="57"/>
        <w:ind w:hanging="0" w:left="0" w:right="0"/>
        <w:jc w:val="both"/>
        <w:rPr>
          <w:rFonts w:ascii="Verdana" w:hAnsi="Verdana"/>
          <w:sz w:val="20"/>
          <w:szCs w:val="20"/>
        </w:rPr>
      </w:pPr>
      <w:r>
        <w:rPr>
          <w:rFonts w:ascii="Verdana" w:hAnsi="Verdana"/>
          <w:b w:val="false"/>
          <w:bCs w:val="false"/>
          <w:sz w:val="20"/>
          <w:szCs w:val="20"/>
        </w:rPr>
        <w:t>7</w:t>
      </w:r>
      <w:r>
        <w:rPr>
          <w:rFonts w:eastAsia="Times New Roman" w:cs="Arial" w:ascii="Verdana" w:hAnsi="Verdana"/>
          <w:b w:val="false"/>
          <w:bCs w:val="false"/>
          <w:i w:val="false"/>
          <w:iCs w:val="false"/>
          <w:color w:val="000000"/>
          <w:sz w:val="20"/>
          <w:szCs w:val="20"/>
        </w:rPr>
        <w:t>.9.1.</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Atender prontamente às solicitações </w:t>
      </w:r>
      <w:r>
        <w:rPr>
          <w:rFonts w:eastAsia="Times New Roman" w:cs="Arial" w:ascii="Verdana" w:hAnsi="Verdana"/>
          <w:b w:val="false"/>
          <w:bCs w:val="false"/>
          <w:i w:val="false"/>
          <w:iCs w:val="false"/>
          <w:color w:val="000000"/>
          <w:sz w:val="20"/>
          <w:szCs w:val="20"/>
        </w:rPr>
        <w:t>da secretaria requisitante nas</w:t>
      </w:r>
      <w:r>
        <w:rPr>
          <w:rFonts w:cs="Arial" w:ascii="Verdana" w:hAnsi="Verdana"/>
          <w:b w:val="false"/>
          <w:bCs w:val="false"/>
          <w:i w:val="false"/>
          <w:iCs w:val="false"/>
          <w:color w:val="000000"/>
          <w:sz w:val="20"/>
          <w:szCs w:val="20"/>
        </w:rPr>
        <w:t xml:space="preserve"> quantidades e especificações deste TERMO DE REFERÊNCIA e CONTRATO.</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7.9.</w:t>
      </w:r>
      <w:r>
        <w:rPr>
          <w:rFonts w:cs="Arial" w:ascii="Verdana" w:hAnsi="Verdana"/>
          <w:b w:val="false"/>
          <w:bCs w:val="false"/>
          <w:i w:val="false"/>
          <w:iCs w:val="false"/>
          <w:color w:val="000000"/>
          <w:sz w:val="20"/>
          <w:szCs w:val="20"/>
        </w:rPr>
        <w:t>2</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Entregar os </w:t>
      </w:r>
      <w:r>
        <w:rPr>
          <w:rFonts w:eastAsia="Times New Roman" w:cs="Arial" w:ascii="Verdana" w:hAnsi="Verdana"/>
          <w:b w:val="false"/>
          <w:bCs w:val="false"/>
          <w:i w:val="false"/>
          <w:iCs w:val="false"/>
          <w:color w:val="000000"/>
          <w:sz w:val="20"/>
          <w:szCs w:val="20"/>
        </w:rPr>
        <w:t>gêneros alimentícios</w:t>
      </w:r>
      <w:r>
        <w:rPr>
          <w:rFonts w:cs="Arial" w:ascii="Verdana" w:hAnsi="Verdana"/>
          <w:b w:val="false"/>
          <w:bCs w:val="false"/>
          <w:i w:val="false"/>
          <w:iCs w:val="false"/>
          <w:color w:val="000000"/>
          <w:sz w:val="20"/>
          <w:szCs w:val="20"/>
        </w:rPr>
        <w:t xml:space="preserve"> acondicionados adequadamente,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7.9.3. </w:t>
      </w:r>
      <w:r>
        <w:rPr>
          <w:rFonts w:cs="Arial" w:ascii="Verdana" w:hAnsi="Verdana"/>
          <w:b w:val="false"/>
          <w:bCs w:val="false"/>
          <w:i w:val="false"/>
          <w:iCs w:val="false"/>
          <w:color w:val="000000"/>
          <w:sz w:val="20"/>
          <w:szCs w:val="20"/>
        </w:rPr>
        <w:t>A nota fiscal deverá ser acompanhada pelas Certidões de Regularidades Fiscais, exigidos para a habilitação no procedimento licitatório.</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ascii="Verdana" w:hAnsi="Verdana"/>
          <w:b w:val="false"/>
          <w:bCs w:val="false"/>
          <w:sz w:val="20"/>
          <w:szCs w:val="20"/>
        </w:rPr>
        <w:t>7</w:t>
      </w:r>
      <w:r>
        <w:rPr>
          <w:rFonts w:eastAsia="Times New Roman" w:cs="Arial" w:ascii="Verdana" w:hAnsi="Verdana"/>
          <w:b w:val="false"/>
          <w:bCs w:val="false"/>
          <w:i w:val="false"/>
          <w:iCs w:val="false"/>
          <w:color w:val="000000"/>
          <w:sz w:val="20"/>
          <w:szCs w:val="20"/>
        </w:rPr>
        <w:t xml:space="preserve">.9.4. </w:t>
      </w:r>
      <w:r>
        <w:rPr>
          <w:rFonts w:cs="Arial" w:ascii="Verdana" w:hAnsi="Verdana"/>
          <w:b w:val="false"/>
          <w:bCs w:val="false"/>
          <w:i w:val="false"/>
          <w:iCs w:val="false"/>
          <w:color w:val="000000"/>
          <w:sz w:val="20"/>
          <w:szCs w:val="20"/>
        </w:rPr>
        <w:t xml:space="preserve">Substituir quaisquer </w:t>
      </w:r>
      <w:r>
        <w:rPr>
          <w:rFonts w:eastAsia="Times New Roman" w:cs="Arial" w:ascii="Verdana" w:hAnsi="Verdana"/>
          <w:b w:val="false"/>
          <w:bCs w:val="false"/>
          <w:i w:val="false"/>
          <w:iCs w:val="false"/>
          <w:color w:val="000000"/>
          <w:sz w:val="20"/>
          <w:szCs w:val="20"/>
        </w:rPr>
        <w:t xml:space="preserve">item </w:t>
      </w:r>
      <w:r>
        <w:rPr>
          <w:rFonts w:cs="Arial" w:ascii="Verdana" w:hAnsi="Verdana"/>
          <w:b w:val="false"/>
          <w:bCs w:val="false"/>
          <w:i w:val="false"/>
          <w:iCs w:val="false"/>
          <w:color w:val="000000"/>
          <w:sz w:val="20"/>
          <w:szCs w:val="20"/>
        </w:rPr>
        <w:t xml:space="preserve">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7.9.5. Ocorrendo erros na apresentação dos documentos fiscais ou outra circunstância impeditiva, os mesmos serão devolvidos à empresa contratada para correção, ficando estabelecido que o prazo para pagamento será contado a partir da data de apresentação do novo documento fiscal, devidamente corrigido;</w:t>
      </w:r>
    </w:p>
    <w:p>
      <w:pPr>
        <w:pStyle w:val="Normal"/>
        <w:tabs>
          <w:tab w:val="clear" w:pos="708"/>
          <w:tab w:val="left" w:pos="0" w:leader="none"/>
        </w:tabs>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bookmarkStart w:id="3" w:name="page68R_mcid20"/>
      <w:bookmarkStart w:id="4" w:name="page68R_mcid201"/>
      <w:bookmarkStart w:id="5" w:name="page68R_mcid20"/>
      <w:bookmarkStart w:id="6" w:name="page68R_mcid201"/>
      <w:bookmarkEnd w:id="5"/>
      <w:bookmarkEnd w:id="6"/>
    </w:p>
    <w:p>
      <w:pPr>
        <w:pStyle w:val="Normal"/>
        <w:spacing w:lineRule="auto" w:line="276" w:before="57" w:after="57"/>
        <w:ind w:hanging="0" w:left="0" w:right="0"/>
        <w:jc w:val="both"/>
        <w:rPr>
          <w:rFonts w:ascii="Verdana" w:hAnsi="Verdana"/>
          <w:sz w:val="20"/>
          <w:szCs w:val="20"/>
        </w:rPr>
      </w:pPr>
      <w:bookmarkStart w:id="7" w:name="_GoBack111"/>
      <w:bookmarkStart w:id="8" w:name="page70R_mcid10"/>
      <w:bookmarkEnd w:id="7"/>
      <w:bookmarkEnd w:id="8"/>
      <w:r>
        <w:rPr>
          <w:rFonts w:cs="Arial" w:ascii="Verdana" w:hAnsi="Verdana"/>
          <w:b/>
          <w:bCs/>
          <w:i w:val="false"/>
          <w:iCs w:val="false"/>
          <w:color w:val="000000"/>
          <w:sz w:val="20"/>
          <w:szCs w:val="20"/>
        </w:rPr>
        <w:t>8. DO CONTROLE E FISCALIZAÇÃO DA EXECUÇÃO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8.1.</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Será designado representante para acompanhar e fiscalizar a entrega d</w:t>
      </w:r>
      <w:r>
        <w:rPr>
          <w:rFonts w:eastAsia="Times New Roman" w:cs="Arial" w:ascii="Verdana" w:hAnsi="Verdana"/>
          <w:b w:val="false"/>
          <w:bCs w:val="false"/>
          <w:i w:val="false"/>
          <w:iCs w:val="false"/>
          <w:color w:val="000000"/>
          <w:sz w:val="20"/>
          <w:szCs w:val="20"/>
        </w:rPr>
        <w:t>os gêneros alimentícios</w:t>
      </w:r>
      <w:r>
        <w:rPr>
          <w:rFonts w:cs="Arial" w:ascii="Verdana" w:hAnsi="Verdana"/>
          <w:b w:val="false"/>
          <w:bCs w:val="false"/>
          <w:i w:val="false"/>
          <w:iCs w:val="false"/>
          <w:color w:val="000000"/>
          <w:sz w:val="20"/>
          <w:szCs w:val="20"/>
        </w:rPr>
        <w:t xml:space="preserve"> anotando em registro próprio todas as ocorrências relacionadas com a execução e determinando o que for necessário à regularização de falhas ou defeitos observados.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8.2. A fiscalização de que trata este item não exclui nem reduz a responsabilidade da Contratada, inclusive perante terceiros, por qualquer irregularidade, ainda que resultante de imperfeições técnicas ou vícios redibitórios, e na ocorrência desta, não implica responsabilidade da Administração ou de seus agentes e prepostos.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 xml:space="preserve">8.3.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w:t>
      </w:r>
      <w:r>
        <w:rPr>
          <w:rFonts w:ascii="Verdana" w:hAnsi="Verdana"/>
          <w:sz w:val="20"/>
          <w:szCs w:val="20"/>
        </w:rPr>
        <w:t>defeitos observados e encaminhando os apontamentos à autoridade competente para as providências cabíveis.</w:t>
      </w:r>
    </w:p>
    <w:p>
      <w:pPr>
        <w:pStyle w:val="Normal"/>
        <w:spacing w:lineRule="auto" w:line="276" w:before="57" w:after="57"/>
        <w:ind w:hanging="0" w:left="0" w:right="0"/>
        <w:jc w:val="both"/>
        <w:rPr>
          <w:rFonts w:ascii="Verdana" w:hAnsi="Verdana"/>
          <w:sz w:val="20"/>
          <w:szCs w:val="20"/>
        </w:rPr>
      </w:pPr>
      <w:r>
        <w:rPr>
          <w:rFonts w:ascii="Verdana" w:hAnsi="Verdana"/>
          <w:sz w:val="20"/>
          <w:szCs w:val="20"/>
        </w:rPr>
        <w:t>8.4. No caso de interrupção das entregas, por parte da contratada, o gestor do contrato tomará as providências cabíveis, de acordo com as cláusulas do edital e do contrato.</w:t>
      </w:r>
    </w:p>
    <w:p>
      <w:pPr>
        <w:pStyle w:val="Normal"/>
        <w:spacing w:lineRule="auto" w:line="276" w:before="57" w:after="57"/>
        <w:ind w:hanging="0" w:left="0" w:right="0"/>
        <w:jc w:val="both"/>
        <w:rPr>
          <w:rFonts w:ascii="Verdana" w:hAnsi="Verdana" w:cs="Arial"/>
          <w:b/>
          <w:sz w:val="20"/>
          <w:szCs w:val="20"/>
          <w:u w:val="none"/>
        </w:rPr>
      </w:pPr>
      <w:r>
        <w:rPr>
          <w:rFonts w:cs="Arial" w:ascii="Verdana" w:hAnsi="Verdana"/>
          <w:b/>
          <w:sz w:val="20"/>
          <w:szCs w:val="20"/>
          <w:u w:val="none"/>
        </w:rPr>
      </w:r>
    </w:p>
    <w:p>
      <w:pPr>
        <w:pStyle w:val="Normal"/>
        <w:tabs>
          <w:tab w:val="clear" w:pos="708"/>
          <w:tab w:val="left" w:pos="0" w:leader="none"/>
        </w:tabs>
        <w:spacing w:lineRule="auto" w:line="276" w:before="57" w:after="57"/>
        <w:ind w:hanging="0" w:left="0" w:right="0"/>
        <w:rPr>
          <w:rFonts w:ascii="Verdana" w:hAnsi="Verdana"/>
          <w:sz w:val="20"/>
          <w:szCs w:val="20"/>
        </w:rPr>
      </w:pPr>
      <w:r>
        <w:rPr>
          <w:rFonts w:cs="Arial" w:ascii="Verdana" w:hAnsi="Verdana"/>
          <w:b/>
          <w:bCs/>
          <w:sz w:val="20"/>
          <w:szCs w:val="20"/>
          <w:u w:val="none"/>
        </w:rPr>
        <w:t>9. RESULTADOS PRETENDIDOS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u w:val="none"/>
        </w:rPr>
        <w:t xml:space="preserve">9.1. </w:t>
      </w:r>
      <w:r>
        <w:rPr>
          <w:rFonts w:eastAsia="Times New Roman" w:cs="Arial" w:ascii="Verdana" w:hAnsi="Verdana"/>
          <w:b w:val="false"/>
          <w:bCs w:val="false"/>
          <w:color w:val="auto"/>
          <w:kern w:val="0"/>
          <w:sz w:val="20"/>
          <w:szCs w:val="20"/>
          <w:u w:val="none"/>
          <w:lang w:val="pt-BR" w:eastAsia="pt-BR" w:bidi="ar-SA"/>
        </w:rPr>
        <w:t>Com a contratação, buscamos suprir as necessidades das Escolas Municipais através do Programa Nacional de Alimentação Escolar, a fim de mantermos os 200 dias letivos com fornecimento de gêneros alimentícios de qualidade, fornecendo alimentação adequada aos alunos durante o período de aula.</w:t>
      </w:r>
    </w:p>
    <w:p>
      <w:pPr>
        <w:pStyle w:val="Normal"/>
        <w:spacing w:lineRule="auto" w:line="276" w:before="57" w:after="57"/>
        <w:ind w:hanging="0" w:left="0" w:right="0"/>
        <w:jc w:val="both"/>
        <w:rPr>
          <w:rFonts w:ascii="Verdana" w:hAnsi="Verdana" w:cs="Arial"/>
          <w:b/>
          <w:sz w:val="20"/>
          <w:szCs w:val="20"/>
          <w:u w:val="none"/>
        </w:rPr>
      </w:pPr>
      <w:r>
        <w:rPr>
          <w:rFonts w:cs="Arial" w:ascii="Verdana" w:hAnsi="Verdana"/>
          <w:b/>
          <w:sz w:val="20"/>
          <w:szCs w:val="20"/>
          <w:u w:val="none"/>
        </w:rPr>
      </w:r>
    </w:p>
    <w:p>
      <w:pPr>
        <w:pStyle w:val="Normal"/>
        <w:spacing w:lineRule="auto" w:line="276" w:before="57" w:after="57"/>
        <w:ind w:hanging="0" w:left="0" w:right="0"/>
        <w:jc w:val="both"/>
        <w:rPr>
          <w:rFonts w:ascii="Verdana" w:hAnsi="Verdana"/>
          <w:sz w:val="20"/>
          <w:szCs w:val="20"/>
        </w:rPr>
      </w:pPr>
      <w:r>
        <w:rPr>
          <w:rFonts w:cs="Arial" w:ascii="Verdana" w:hAnsi="Verdana"/>
          <w:b/>
          <w:bCs/>
          <w:sz w:val="20"/>
          <w:szCs w:val="20"/>
          <w:u w:val="none"/>
        </w:rPr>
        <w:t>10. REGULARIDADE FISCAL E TRABALHISTA</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sz w:val="20"/>
          <w:szCs w:val="20"/>
          <w:u w:val="none"/>
        </w:rPr>
        <w:t xml:space="preserve">10.1. </w:t>
      </w:r>
      <w:r>
        <w:rPr>
          <w:rFonts w:cs="Arial" w:ascii="Verdana" w:hAnsi="Verdana"/>
          <w:b w:val="false"/>
          <w:bCs w:val="false"/>
          <w:sz w:val="20"/>
          <w:szCs w:val="20"/>
          <w:u w:val="none"/>
        </w:rPr>
        <w:t xml:space="preserve">Cópia de inscrição no Cadastro de Pessoas </w:t>
      </w:r>
      <w:r>
        <w:rPr>
          <w:rFonts w:eastAsia="Times New Roman" w:cs="Arial" w:ascii="Verdana" w:hAnsi="Verdana"/>
          <w:b w:val="false"/>
          <w:bCs w:val="false"/>
          <w:sz w:val="20"/>
          <w:szCs w:val="20"/>
          <w:u w:val="none"/>
        </w:rPr>
        <w:t>Jurídicas – CNPJ.</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sz w:val="20"/>
          <w:szCs w:val="20"/>
          <w:u w:val="none"/>
        </w:rPr>
        <w:t xml:space="preserve">10.2. </w:t>
      </w:r>
      <w:r>
        <w:rPr>
          <w:rFonts w:cs="Arial" w:ascii="Verdana" w:hAnsi="Verdana"/>
          <w:b w:val="false"/>
          <w:bCs w:val="false"/>
          <w:sz w:val="20"/>
          <w:szCs w:val="20"/>
          <w:u w:val="none"/>
        </w:rPr>
        <w:t xml:space="preserve">Prova de regularidade com a Fazenda Pública Federal, referente à Certidão de Débitos relativos a Créditos Tributários Federais e à Dívida Ativa da União, que poderá ser solicitada no site http://receita.economia.gov.br; </w:t>
      </w:r>
    </w:p>
    <w:p>
      <w:pPr>
        <w:pStyle w:val="Normal"/>
        <w:spacing w:lineRule="auto" w:line="276" w:before="57" w:after="57"/>
        <w:ind w:hanging="0" w:left="0" w:right="0"/>
        <w:jc w:val="both"/>
        <w:rPr/>
      </w:pPr>
      <w:r>
        <w:rPr>
          <w:rFonts w:eastAsia="Times New Roman" w:cs="Arial" w:ascii="Verdana" w:hAnsi="Verdana"/>
          <w:b w:val="false"/>
          <w:bCs w:val="false"/>
          <w:sz w:val="20"/>
          <w:szCs w:val="20"/>
          <w:u w:val="none"/>
        </w:rPr>
        <w:t>10.3.</w:t>
      </w:r>
      <w:r>
        <w:rPr>
          <w:rFonts w:cs="Arial" w:ascii="Verdana" w:hAnsi="Verdana"/>
          <w:b w:val="false"/>
          <w:bCs w:val="false"/>
          <w:sz w:val="20"/>
          <w:szCs w:val="20"/>
          <w:u w:val="none"/>
        </w:rPr>
        <w:t xml:space="preserve">Prova de regularidade com a Fazenda Estadual, que poderá ser solicitada no site </w:t>
      </w:r>
      <w:hyperlink r:id="rId2">
        <w:r>
          <w:rPr>
            <w:rStyle w:val="ListLabel28"/>
            <w:rFonts w:cs="Arial" w:ascii="Verdana" w:hAnsi="Verdana"/>
            <w:b w:val="false"/>
            <w:bCs w:val="false"/>
            <w:color w:val="000000"/>
            <w:sz w:val="20"/>
            <w:szCs w:val="20"/>
            <w:u w:val="none"/>
          </w:rPr>
          <w:t>https://internet.sefaz.es.gov.br</w:t>
        </w:r>
      </w:hyperlink>
      <w:r>
        <w:rPr>
          <w:rFonts w:cs="Arial" w:ascii="Verdana" w:hAnsi="Verdana"/>
          <w:b w:val="false"/>
          <w:bCs w:val="false"/>
          <w:color w:val="000000"/>
          <w:sz w:val="20"/>
          <w:szCs w:val="20"/>
          <w:u w:val="none"/>
        </w:rPr>
        <w:t>;</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sz w:val="20"/>
          <w:szCs w:val="20"/>
          <w:u w:val="none"/>
        </w:rPr>
        <w:t xml:space="preserve">10.4. </w:t>
      </w:r>
      <w:r>
        <w:rPr>
          <w:rFonts w:cs="Arial" w:ascii="Verdana" w:hAnsi="Verdana"/>
          <w:b w:val="false"/>
          <w:bCs w:val="false"/>
          <w:sz w:val="20"/>
          <w:szCs w:val="20"/>
          <w:u w:val="none"/>
        </w:rPr>
        <w:t>Prova de regularidade com a Fazenda Pública Municipal referente ao domicílio do interessado.</w:t>
      </w:r>
    </w:p>
    <w:p>
      <w:pPr>
        <w:pStyle w:val="Normal"/>
        <w:spacing w:lineRule="auto" w:line="276" w:before="57" w:after="57"/>
        <w:ind w:hanging="0" w:left="0" w:right="0"/>
        <w:jc w:val="both"/>
        <w:rPr/>
      </w:pPr>
      <w:r>
        <w:rPr>
          <w:rFonts w:eastAsia="Times New Roman" w:cs="Arial" w:ascii="Verdana" w:hAnsi="Verdana"/>
          <w:b w:val="false"/>
          <w:bCs w:val="false"/>
          <w:sz w:val="20"/>
          <w:szCs w:val="20"/>
          <w:u w:val="none"/>
        </w:rPr>
        <w:t xml:space="preserve">10.5. </w:t>
      </w:r>
      <w:r>
        <w:rPr>
          <w:rFonts w:cs="Arial" w:ascii="Verdana" w:hAnsi="Verdana"/>
          <w:b w:val="false"/>
          <w:bCs w:val="false"/>
          <w:sz w:val="20"/>
          <w:szCs w:val="20"/>
          <w:u w:val="none"/>
        </w:rPr>
        <w:t>Prova de inexistência de débitos inadimplidos perante a Justiça do Trabalho, mediante a apresentação de certidão negativa, nos termos do Título VII-A da Con</w:t>
      </w:r>
      <w:r>
        <w:rPr>
          <w:rFonts w:cs="Arial" w:ascii="Verdana" w:hAnsi="Verdana"/>
          <w:sz w:val="20"/>
          <w:szCs w:val="20"/>
          <w:u w:val="none"/>
        </w:rPr>
        <w:t xml:space="preserve">solidação das Leis do Trabalho, aprovada pelo Decreto-Lei n.º 5.452, de 1º de maio de 1943, que poderá ser retirada no site </w:t>
      </w:r>
      <w:hyperlink r:id="rId3">
        <w:r>
          <w:rPr>
            <w:rStyle w:val="ListLabel29"/>
            <w:rFonts w:cs="Arial" w:ascii="Verdana" w:hAnsi="Verdana"/>
            <w:color w:val="000080"/>
            <w:sz w:val="20"/>
            <w:szCs w:val="20"/>
            <w:u w:val="none"/>
          </w:rPr>
          <w:t>http://www.tst.jus.br</w:t>
        </w:r>
      </w:hyperlink>
      <w:r>
        <w:rPr>
          <w:rFonts w:cs="Arial" w:ascii="Verdana" w:hAnsi="Verdana"/>
          <w:sz w:val="20"/>
          <w:szCs w:val="20"/>
          <w:u w:val="none"/>
        </w:rPr>
        <w:t>.</w:t>
      </w:r>
    </w:p>
    <w:p>
      <w:pPr>
        <w:pStyle w:val="Normal"/>
        <w:spacing w:lineRule="auto" w:line="276" w:before="57" w:after="57"/>
        <w:ind w:hanging="0" w:left="0" w:right="0"/>
        <w:jc w:val="both"/>
        <w:rPr>
          <w:rFonts w:ascii="Verdana" w:hAnsi="Verdana" w:cs="Arial"/>
          <w:b/>
          <w:sz w:val="20"/>
          <w:szCs w:val="20"/>
          <w:u w:val="none"/>
        </w:rPr>
      </w:pPr>
      <w:r>
        <w:rPr>
          <w:rFonts w:cs="Arial" w:ascii="Verdana" w:hAnsi="Verdana"/>
          <w:b/>
          <w:sz w:val="20"/>
          <w:szCs w:val="20"/>
          <w:u w:val="none"/>
        </w:rPr>
      </w:r>
    </w:p>
    <w:p>
      <w:pPr>
        <w:pStyle w:val="Normal"/>
        <w:spacing w:lineRule="auto" w:line="276" w:before="57" w:after="57"/>
        <w:ind w:hanging="0" w:left="0" w:right="0"/>
        <w:jc w:val="both"/>
        <w:rPr>
          <w:rFonts w:ascii="Verdana" w:hAnsi="Verdana"/>
          <w:sz w:val="20"/>
          <w:szCs w:val="20"/>
        </w:rPr>
      </w:pPr>
      <w:r>
        <w:rPr>
          <w:rFonts w:cs="Arial" w:ascii="Verdana" w:hAnsi="Verdana"/>
          <w:b/>
          <w:bCs/>
          <w:sz w:val="20"/>
          <w:szCs w:val="20"/>
          <w:u w:val="none"/>
        </w:rPr>
        <w:t>11. DAS SANÇÕES ADMINISTRATIVAS</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 Comete infração administrativa o fornecedor/prestador de serviço que cometer quaisquer das infrações previstas no art. 155 da Lei nº 14.133, de 2021, quais sejam:</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 Dar causa à inexecução parcial do contrato.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.1.2. Dar causa à inexecução parcial que cause grave dano à Administração, ao funcionamento dos serviços públicos ou ao interesse coletivo.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.1.3. Dar causa à inexecução total;</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.1.4. Deixar de entregar a documentação exigida para o certame.</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.1.5. Não manter a proposta, salvo em decorrência de fato superveniente devidamente justificado.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 xml:space="preserve">.1.6. Não celebrar o contrato ou não entregar a documentação exigida para a contratação, quando convocado dentro do prazo de validade de sua proposta. </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.1.7. Ensejar o retardamento da execução ou da entrega do objeto sem motivo justificado,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.1.8. Apresentar declaração ou documentação falsa exigida para o certame ou prestar declaração falsa durante a dispensa eletrônica ou a execução do objeto.</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u w:val="none"/>
        </w:rPr>
        <w:t>11.1.9. Fraudar a dispensa eletrônica ou praticar ato fraudulento na execução do objeto.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.1.10. Comportar-se de modo inidôneo ou cometer fraude de qualquer natureza.</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.1.11. Praticar atos ilícitos com vistas a frustrar os objetivos deste certame.</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.1.12. Praticar ato lesivo previsto no art. 5º da Lei nº 12.846, de 1º de agosto de 2013.</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11.1.13.</w:t>
      </w:r>
      <w:r>
        <w:rPr>
          <w:rFonts w:ascii="Verdana" w:hAnsi="Verdana"/>
          <w:b w:val="false"/>
          <w:bCs w:val="false"/>
          <w:iCs/>
          <w:sz w:val="20"/>
          <w:szCs w:val="20"/>
          <w:u w:val="none"/>
        </w:rPr>
        <w:t xml:space="preserve"> O fornecedor que cometer qualquer das infrações discriminadas nos subitens anteriores ficará sujeito, sem prejuízo da responsabilidade civil e criminal, às seguintes sanções:</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u w:val="none"/>
        </w:rPr>
        <w:tab/>
        <w:t>a) Advertência pela falta do subitem 11.1.1 deste Termo de Referência, quando não se justificar a imposição de penalidade mais grave.</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u w:val="none"/>
        </w:rPr>
        <w:tab/>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 xml:space="preserve">.1.7 e 20% (vinte por cento), se cometidas infrações previstas nos itens 11.1.8 a 11.1.12; </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u w:val="none"/>
        </w:rPr>
        <w:tab/>
        <w:tab/>
        <w:t>b.1) O valor da multa poderá ser descontado das faturas devidas à CONTRATADA;</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u w:val="none"/>
        </w:rPr>
        <w:tab/>
        <w:tab/>
        <w:t xml:space="preserve">b.2) A multa pode ser aplicada isoladamente ou junto </w:t>
      </w:r>
      <w:r>
        <w:rPr>
          <w:rFonts w:ascii="Verdana" w:hAnsi="Verdana"/>
          <w:b w:val="false"/>
          <w:bCs w:val="false"/>
          <w:iCs/>
          <w:sz w:val="20"/>
          <w:szCs w:val="20"/>
          <w:u w:val="none"/>
        </w:rPr>
        <w:t>com</w:t>
      </w:r>
      <w:r>
        <w:rPr>
          <w:rFonts w:ascii="Verdana" w:hAnsi="Verdana"/>
          <w:b w:val="false"/>
          <w:bCs w:val="false"/>
          <w:iCs/>
          <w:sz w:val="20"/>
          <w:szCs w:val="20"/>
          <w:u w:val="none"/>
        </w:rPr>
        <w:t xml:space="preserve"> as penali</w:t>
      </w:r>
      <w:r>
        <w:rPr>
          <w:rFonts w:ascii="Verdana" w:hAnsi="Verdana"/>
          <w:iCs/>
          <w:sz w:val="20"/>
          <w:szCs w:val="20"/>
          <w:u w:val="none"/>
        </w:rPr>
        <w:t xml:space="preserve">dades definidas nos itens “c” e “d” abaixo: </w:t>
      </w:r>
    </w:p>
    <w:p>
      <w:pPr>
        <w:pStyle w:val="Normal"/>
        <w:spacing w:lineRule="auto" w:line="276" w:before="57" w:after="57"/>
        <w:ind w:hanging="0" w:left="0" w:right="0"/>
        <w:jc w:val="both"/>
        <w:rPr>
          <w:rFonts w:ascii="Verdana" w:hAnsi="Verdana"/>
          <w:sz w:val="20"/>
          <w:szCs w:val="20"/>
        </w:rPr>
      </w:pPr>
      <w:r>
        <w:rPr>
          <w:rFonts w:ascii="Verdana" w:hAnsi="Verdana"/>
          <w:iCs/>
          <w:sz w:val="20"/>
          <w:szCs w:val="20"/>
          <w:u w:val="none"/>
        </w:rPr>
        <w:tab/>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276" w:before="57" w:after="57"/>
        <w:ind w:hanging="0" w:left="0" w:right="0"/>
        <w:jc w:val="both"/>
        <w:rPr>
          <w:rFonts w:ascii="Verdana" w:hAnsi="Verdana"/>
          <w:sz w:val="20"/>
          <w:szCs w:val="20"/>
        </w:rPr>
      </w:pPr>
      <w:r>
        <w:rPr>
          <w:rFonts w:ascii="Verdana" w:hAnsi="Verdana"/>
          <w:iCs/>
          <w:sz w:val="20"/>
          <w:szCs w:val="20"/>
          <w:u w:val="none"/>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.3. Na aplicação das sanções serão considerados:</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.3.1. A natureza e a gravidade da infração cometida.</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u w:val="none"/>
        </w:rPr>
        <w:t>11.3.2. As peculiaridades do caso concreto.</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u w:val="none"/>
        </w:rPr>
        <w:t>11.3.3. As circunstâncias agravantes ou atenuantes.</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u w:val="none"/>
        </w:rPr>
        <w:t>11.3.4. Os danos que dela provierem para a Administração Pública.</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.3.5. A implantação ou o aperfeiçoamento de programa de integridade, conforme normas e orientações dos órgãos de controle.</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u w:val="none"/>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u w:val="none"/>
          <w:lang w:eastAsia="en-US"/>
        </w:rPr>
        <w:t>11.5. A aplicação de qualquer das penalidades previstas realizar-se-á em processo administrativo que assegurará o contraditório e a ampla defesa ao fornecedor/adjudicatário, observando-se o rito procedimental previsto no Capítulo I do Título IV d</w:t>
      </w:r>
      <w:r>
        <w:rPr>
          <w:rFonts w:ascii="Verdana" w:hAnsi="Verdana"/>
          <w:iCs/>
          <w:sz w:val="20"/>
          <w:szCs w:val="20"/>
          <w:u w:val="none"/>
          <w:lang w:eastAsia="en-US"/>
        </w:rPr>
        <w:t>a Lei 14.133/2021 – Das Infrações e Sanções Administrativas.</w:t>
      </w:r>
    </w:p>
    <w:p>
      <w:pPr>
        <w:pStyle w:val="Normal"/>
        <w:spacing w:lineRule="auto" w:line="276" w:before="57" w:after="57"/>
        <w:ind w:hanging="0" w:left="0" w:right="0"/>
        <w:jc w:val="both"/>
        <w:rPr>
          <w:rFonts w:ascii="Verdana" w:hAnsi="Verdana"/>
          <w:sz w:val="20"/>
          <w:szCs w:val="20"/>
        </w:rPr>
      </w:pPr>
      <w:r>
        <w:rPr>
          <w:rFonts w:ascii="Verdana" w:hAnsi="Verdana"/>
          <w:b/>
          <w:bCs/>
          <w:sz w:val="20"/>
          <w:szCs w:val="20"/>
          <w:u w:val="none"/>
          <w:lang w:eastAsia="en-US"/>
        </w:rPr>
        <w:t>12. DA HABILITAÇÃO</w:t>
      </w:r>
      <w:r>
        <w:rPr>
          <w:rFonts w:ascii="Verdana" w:hAnsi="Verdana"/>
          <w:sz w:val="20"/>
          <w:szCs w:val="20"/>
          <w:u w:val="none"/>
          <w:lang w:eastAsia="en-US"/>
        </w:rPr>
        <w:t xml:space="preserve"> </w:t>
      </w:r>
    </w:p>
    <w:p>
      <w:pPr>
        <w:pStyle w:val="Normal"/>
        <w:spacing w:lineRule="auto" w:line="276" w:before="57" w:after="57"/>
        <w:ind w:hanging="0" w:left="0" w:right="0"/>
        <w:jc w:val="both"/>
        <w:rPr>
          <w:rFonts w:ascii="Verdana" w:hAnsi="Verdana"/>
          <w:sz w:val="20"/>
          <w:szCs w:val="20"/>
        </w:rPr>
      </w:pPr>
      <w:r>
        <w:rPr>
          <w:rFonts w:cs="Verdana" w:ascii="Verdana" w:hAnsi="Verdana"/>
          <w:b w:val="false"/>
          <w:bCs w:val="false"/>
          <w:sz w:val="20"/>
          <w:szCs w:val="20"/>
          <w:u w:val="none"/>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sz w:val="20"/>
          <w:szCs w:val="20"/>
          <w:u w:val="none"/>
          <w:lang w:eastAsia="ar-SA"/>
        </w:rPr>
        <w:t>a) SICAF;</w:t>
      </w:r>
    </w:p>
    <w:p>
      <w:pPr>
        <w:pStyle w:val="ListParagraph"/>
        <w:spacing w:lineRule="auto" w:line="276" w:before="57" w:after="57"/>
        <w:ind w:hanging="0" w:left="0" w:right="0"/>
        <w:contextualSpacing w:val="false"/>
        <w:jc w:val="both"/>
        <w:rPr/>
      </w:pPr>
      <w:r>
        <w:rPr>
          <w:rFonts w:cs="Verdana" w:ascii="Verdana" w:hAnsi="Verdana"/>
          <w:b w:val="false"/>
          <w:bCs w:val="false"/>
          <w:sz w:val="20"/>
          <w:szCs w:val="20"/>
          <w:u w:val="none"/>
          <w:lang w:eastAsia="ar-SA"/>
        </w:rPr>
        <w:t xml:space="preserve">b) Cadastro Nacional de Empresas Inidôneas e Suspensas – CEIS, mantido pela </w:t>
      </w:r>
      <w:r>
        <w:rPr>
          <w:rFonts w:cs="Verdana" w:ascii="Verdana" w:hAnsi="Verdana"/>
          <w:b w:val="false"/>
          <w:bCs w:val="false"/>
          <w:color w:val="000000"/>
          <w:sz w:val="20"/>
          <w:szCs w:val="20"/>
          <w:u w:val="none"/>
          <w:lang w:eastAsia="ar-SA"/>
        </w:rPr>
        <w:t>Controladoria-Geral da União (</w:t>
      </w:r>
      <w:hyperlink r:id="rId4">
        <w:r>
          <w:rPr>
            <w:rStyle w:val="ListLabel30"/>
            <w:rFonts w:cs="Verdana" w:ascii="Verdana" w:hAnsi="Verdana"/>
            <w:b w:val="false"/>
            <w:bCs w:val="false"/>
            <w:color w:val="000000"/>
            <w:sz w:val="20"/>
            <w:szCs w:val="20"/>
            <w:u w:val="none"/>
            <w:lang w:eastAsia="ar-SA"/>
          </w:rPr>
          <w:t>www.portaldatransparencia.gov.br/ceis</w:t>
        </w:r>
      </w:hyperlink>
      <w:r>
        <w:rPr>
          <w:rFonts w:cs="Verdana" w:ascii="Verdana" w:hAnsi="Verdana"/>
          <w:b w:val="false"/>
          <w:bCs w:val="false"/>
          <w:color w:val="000000"/>
          <w:sz w:val="20"/>
          <w:szCs w:val="20"/>
          <w:u w:val="none"/>
          <w:lang w:eastAsia="ar-SA"/>
        </w:rPr>
        <w:t>);</w:t>
      </w:r>
    </w:p>
    <w:p>
      <w:pPr>
        <w:pStyle w:val="ListParagraph"/>
        <w:spacing w:lineRule="auto" w:line="276" w:before="57" w:after="57"/>
        <w:ind w:hanging="0" w:left="0" w:right="0"/>
        <w:contextualSpacing w:val="false"/>
        <w:jc w:val="both"/>
        <w:rPr/>
      </w:pPr>
      <w:r>
        <w:rPr>
          <w:rFonts w:cs="Verdana" w:ascii="Verdana" w:hAnsi="Verdana"/>
          <w:b w:val="false"/>
          <w:bCs w:val="false"/>
          <w:color w:val="000000"/>
          <w:sz w:val="20"/>
          <w:szCs w:val="20"/>
          <w:u w:val="none"/>
          <w:lang w:eastAsia="ar-SA"/>
        </w:rPr>
        <w:t>c) Cadastro Nacional de Condenações Cíveis por Atos de Improbidade Administrativa, mantido pelo Conselho Nacional de Justiça (</w:t>
      </w:r>
      <w:hyperlink r:id="rId5">
        <w:r>
          <w:rPr>
            <w:rStyle w:val="ListLabel30"/>
            <w:rFonts w:cs="Verdana" w:ascii="Verdana" w:hAnsi="Verdana"/>
            <w:b w:val="false"/>
            <w:bCs w:val="false"/>
            <w:color w:val="000000"/>
            <w:sz w:val="20"/>
            <w:szCs w:val="20"/>
            <w:u w:val="none"/>
            <w:lang w:eastAsia="ar-SA"/>
          </w:rPr>
          <w:t>www.cnj.jus.br/improbidade_adm/consultar_requerido.php</w:t>
        </w:r>
      </w:hyperlink>
      <w:r>
        <w:rPr>
          <w:rFonts w:cs="Verdana" w:ascii="Verdana" w:hAnsi="Verdana"/>
          <w:b w:val="false"/>
          <w:bCs w:val="false"/>
          <w:color w:val="000000"/>
          <w:sz w:val="20"/>
          <w:szCs w:val="20"/>
          <w:u w:val="none"/>
          <w:lang w:eastAsia="ar-SA"/>
        </w:rPr>
        <w:t>).</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lang w:eastAsia="ar-SA"/>
        </w:rPr>
        <w:t>d) Cadastro de Inidôneos e o Cadastro Integrado de Condenações por Ilícitos Administrativos – CADICON, mantidos pelo Tribunal de Contas da União – TCU;</w:t>
      </w:r>
    </w:p>
    <w:p>
      <w:pPr>
        <w:pStyle w:val="Normal"/>
        <w:spacing w:lineRule="auto" w:line="276" w:before="57" w:after="57"/>
        <w:ind w:hanging="0" w:left="0" w:right="0"/>
        <w:jc w:val="both"/>
        <w:rPr/>
      </w:pPr>
      <w:r>
        <w:rPr>
          <w:rFonts w:cs="Verdana" w:ascii="Verdana" w:hAnsi="Verdana"/>
          <w:b w:val="false"/>
          <w:bCs w:val="false"/>
          <w:color w:val="000000"/>
          <w:sz w:val="20"/>
          <w:szCs w:val="20"/>
          <w:u w:val="none"/>
          <w:lang w:eastAsia="ar-SA"/>
        </w:rPr>
        <w:t>e) Cadastro de empresas inid</w:t>
      </w:r>
      <w:r>
        <w:rPr>
          <w:rFonts w:cs="Verdana" w:ascii="Verdana" w:hAnsi="Verdana"/>
          <w:b w:val="false"/>
          <w:bCs w:val="false"/>
          <w:color w:val="000000"/>
          <w:sz w:val="20"/>
          <w:szCs w:val="20"/>
          <w:u w:val="none"/>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31"/>
            <w:rFonts w:cs="Verdana" w:ascii="Verdana" w:hAnsi="Verdana"/>
            <w:b w:val="false"/>
            <w:bCs w:val="false"/>
            <w:color w:val="000000"/>
            <w:sz w:val="20"/>
            <w:szCs w:val="20"/>
            <w:u w:val="none"/>
          </w:rPr>
          <w:t>https://www.tcees.tc.br/portal-da-transparencia/consultas/lista-de</w:t>
        </w:r>
      </w:hyperlink>
      <w:r>
        <w:rPr>
          <w:rFonts w:cs="Verdana" w:ascii="Verdana" w:hAnsi="Verdana"/>
          <w:b w:val="false"/>
          <w:bCs w:val="false"/>
          <w:color w:val="000000"/>
          <w:sz w:val="20"/>
          <w:szCs w:val="20"/>
          <w:u w:val="none"/>
        </w:rPr>
        <w:t xml:space="preserve"> responsáveis/proibidos-de-contratar/).</w:t>
      </w:r>
    </w:p>
    <w:p>
      <w:pPr>
        <w:pStyle w:val="Normal"/>
        <w:spacing w:lineRule="auto" w:line="276" w:before="57" w:after="57"/>
        <w:ind w:hanging="0" w:left="0" w:right="0"/>
        <w:jc w:val="both"/>
        <w:rPr/>
      </w:pPr>
      <w:r>
        <w:rPr>
          <w:rFonts w:cs="Verdana" w:ascii="Verdana" w:hAnsi="Verdana"/>
          <w:b w:val="false"/>
          <w:bCs w:val="false"/>
          <w:color w:val="000000"/>
          <w:sz w:val="20"/>
          <w:szCs w:val="20"/>
          <w:u w:val="none"/>
          <w:lang w:eastAsia="ar-SA"/>
        </w:rPr>
        <w:t>12.1.1. Para a consulta de licitantes pessoa jurídica poderá haver a substituição das consultas das alíneas “b”, “c” e “d” acima pela Consulta Consolidada de Pessoa Jurídica do TCU (</w:t>
      </w:r>
      <w:hyperlink r:id="rId7">
        <w:r>
          <w:rPr>
            <w:rStyle w:val="ListLabel30"/>
            <w:rFonts w:cs="Verdana" w:ascii="Verdana" w:hAnsi="Verdana"/>
            <w:b w:val="false"/>
            <w:bCs w:val="false"/>
            <w:color w:val="000000"/>
            <w:sz w:val="20"/>
            <w:szCs w:val="20"/>
            <w:u w:val="none"/>
            <w:lang w:eastAsia="ar-SA"/>
          </w:rPr>
          <w:t>https://certidoesapf.apps.tcu.gov.br/</w:t>
        </w:r>
      </w:hyperlink>
      <w:r>
        <w:rPr>
          <w:rFonts w:cs="Verdana" w:ascii="Verdana" w:hAnsi="Verdana"/>
          <w:b w:val="false"/>
          <w:bCs w:val="false"/>
          <w:color w:val="000000"/>
          <w:sz w:val="20"/>
          <w:szCs w:val="20"/>
          <w:u w:val="none"/>
          <w:lang w:eastAsia="ar-SA"/>
        </w:rPr>
        <w:t>);</w:t>
      </w:r>
    </w:p>
    <w:p>
      <w:pPr>
        <w:pStyle w:val="Normal"/>
        <w:spacing w:lineRule="auto" w:line="276" w:before="57" w:after="57"/>
        <w:ind w:hanging="0" w:left="0" w:right="0"/>
        <w:jc w:val="both"/>
        <w:rPr>
          <w:rFonts w:ascii="Verdana" w:hAnsi="Verdana"/>
          <w:sz w:val="20"/>
          <w:szCs w:val="20"/>
        </w:rPr>
      </w:pPr>
      <w:r>
        <w:rPr>
          <w:rFonts w:cs="Verdana" w:ascii="Verdana" w:hAnsi="Verdana"/>
          <w:b w:val="false"/>
          <w:bCs w:val="false"/>
          <w:color w:val="000000"/>
          <w:sz w:val="20"/>
          <w:szCs w:val="20"/>
          <w:u w:val="none"/>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12.1.2.3. O licitante será convocado para manifestação previamente à sua desclassificação.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12.1.3. Constatada a existência de sanção, o Pregoeiro reputará o licitante inabilitado, por falta de condição de participação.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sz w:val="20"/>
          <w:szCs w:val="20"/>
          <w:u w:val="none"/>
          <w:lang w:eastAsia="ar-SA"/>
        </w:rPr>
        <w:t xml:space="preserve">12.2. </w:t>
      </w:r>
      <w:r>
        <w:rPr>
          <w:rFonts w:cs="Verdana" w:ascii="Verdana" w:hAnsi="Verdana"/>
          <w:color w:val="000000"/>
          <w:sz w:val="20"/>
          <w:szCs w:val="20"/>
          <w:u w:val="none"/>
        </w:rPr>
        <w:t xml:space="preserve">Caso atendidas as condições de participação, </w:t>
      </w:r>
      <w:r>
        <w:rPr>
          <w:rFonts w:cs="Verdana" w:ascii="Verdana" w:hAnsi="Verdana"/>
          <w:sz w:val="20"/>
          <w:szCs w:val="20"/>
          <w:u w:val="none"/>
        </w:rPr>
        <w:t>a habilitação dos licitantes será verificada por meio do SICAF, nos documentos por ele abrangidos</w:t>
      </w:r>
      <w:r>
        <w:rPr>
          <w:rFonts w:cs="Verdana" w:ascii="Verdana" w:hAnsi="Verdana"/>
          <w:sz w:val="20"/>
          <w:szCs w:val="20"/>
          <w:u w:val="none"/>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sz w:val="20"/>
          <w:szCs w:val="20"/>
          <w:u w:val="none"/>
          <w:lang w:eastAsia="ar-SA"/>
        </w:rPr>
        <w:t xml:space="preserve">12.2..1. </w:t>
      </w:r>
      <w:r>
        <w:rPr>
          <w:rFonts w:cs="Verdana" w:ascii="Verdana" w:hAnsi="Verdana"/>
          <w:sz w:val="20"/>
          <w:szCs w:val="20"/>
          <w:u w:val="none"/>
          <w:lang w:eastAsia="ar-SA"/>
        </w:rPr>
        <w:t xml:space="preserve">O interessado, para efeitos de habilitação prevista na Instrução Normativa </w:t>
      </w:r>
      <w:r>
        <w:rPr>
          <w:rFonts w:cs="Verdana" w:ascii="Verdana" w:hAnsi="Verdana"/>
          <w:b w:val="false"/>
          <w:bCs w:val="false"/>
          <w:sz w:val="20"/>
          <w:szCs w:val="20"/>
          <w:u w:val="none"/>
          <w:lang w:eastAsia="ar-SA"/>
        </w:rPr>
        <w:t>SEGES/MP nº 03, de 2018 mediante utilização do sistema, deverá atender às condições exigidas no cadastramento no SICAF até o terceiro dia útil anterior à data prevista para recebimento das propostas;</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sz w:val="20"/>
          <w:szCs w:val="20"/>
          <w:u w:val="none"/>
        </w:rPr>
        <w:t>12.4. Somente haverá a necessidade de comprovação do preenchimento de requisitos mediante apresentação dos documentos originais não-digitais quando houver dúvida em relação à integridade do documento digital.</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sz w:val="20"/>
          <w:szCs w:val="20"/>
          <w:u w:val="none"/>
        </w:rPr>
        <w:t>12.5. Não serão aceitos documentos de habilitação com indicação de CNPJ/CPF diferentes, salvo aqueles legalmente permitidos.</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sz w:val="20"/>
          <w:szCs w:val="20"/>
          <w:u w:val="none"/>
        </w:rPr>
        <w:t>12.6. Serão aceitos registros de CNPJ de licitante matriz e filial com diferenças de números de documentos pertinentes ao CND e ao CRF/FGTS, quando for comprovada a centralização do recolhimento dessas contribuições.</w:t>
      </w:r>
    </w:p>
    <w:p>
      <w:pPr>
        <w:pStyle w:val="PADRO"/>
        <w:widowControl/>
        <w:shd w:val="clear" w:fill="FFFFFF"/>
        <w:tabs>
          <w:tab w:val="clear" w:pos="708"/>
          <w:tab w:val="left" w:pos="567" w:leader="none"/>
        </w:tabs>
        <w:spacing w:lineRule="auto" w:line="276" w:before="57" w:after="57"/>
        <w:ind w:hanging="0" w:left="0" w:right="0"/>
        <w:rPr>
          <w:rFonts w:ascii="Verdana" w:hAnsi="Verdana"/>
          <w:sz w:val="20"/>
          <w:szCs w:val="20"/>
        </w:rPr>
      </w:pPr>
      <w:r>
        <w:rPr>
          <w:rFonts w:cs="Verdana" w:ascii="Verdana" w:hAnsi="Verdana"/>
          <w:b w:val="false"/>
          <w:bCs w:val="false"/>
          <w:color w:val="000000"/>
          <w:sz w:val="20"/>
          <w:szCs w:val="20"/>
          <w:u w:val="none"/>
        </w:rPr>
        <w:t>12.7. Os licitantes deverão encaminhar, nos termos deste Edital, a documentação relacionada nos itens a seguir, para fins de habilitação: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bCs/>
          <w:color w:val="000000"/>
          <w:sz w:val="20"/>
          <w:szCs w:val="20"/>
          <w:u w:val="none"/>
        </w:rPr>
        <w:t>12.8. Habilitação jurídica:</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12.8.1. No caso de empresário individual: inscrição no Registro Público de Empresas Mercantis, a cargo da Junta Comercial da respectiva sede;</w:t>
      </w:r>
    </w:p>
    <w:p>
      <w:pPr>
        <w:pStyle w:val="ListParagraph"/>
        <w:spacing w:lineRule="auto" w:line="276" w:before="57" w:after="57"/>
        <w:ind w:hanging="0" w:left="0" w:right="0"/>
        <w:contextualSpacing w:val="false"/>
        <w:jc w:val="both"/>
        <w:rPr/>
      </w:pPr>
      <w:r>
        <w:rPr>
          <w:rFonts w:cs="Verdana" w:ascii="Verdana" w:hAnsi="Verdana"/>
          <w:b w:val="false"/>
          <w:bCs w:val="false"/>
          <w:color w:val="000000"/>
          <w:sz w:val="20"/>
          <w:szCs w:val="20"/>
          <w:u w:val="none"/>
        </w:rPr>
        <w:t xml:space="preserve">12.8.2. Em se tratando de microempreendedor individual – MEI: Certificado da Condição de Microempreendedor Individual – CCMEI, cuja aceitação ficará condicionada à verificação da autenticidade no sítio </w:t>
      </w:r>
      <w:hyperlink r:id="rId8">
        <w:r>
          <w:rPr>
            <w:rStyle w:val="ListLabel31"/>
            <w:rFonts w:cs="Verdana" w:ascii="Verdana" w:hAnsi="Verdana"/>
            <w:b w:val="false"/>
            <w:bCs w:val="false"/>
            <w:color w:val="000000"/>
            <w:sz w:val="20"/>
            <w:szCs w:val="20"/>
            <w:u w:val="none"/>
          </w:rPr>
          <w:t>www.portaldoempreendedor.gov.br</w:t>
        </w:r>
      </w:hyperlink>
      <w:r>
        <w:rPr>
          <w:rFonts w:cs="Verdana" w:ascii="Verdana" w:hAnsi="Verdana"/>
          <w:b w:val="false"/>
          <w:bCs w:val="false"/>
          <w:color w:val="000000"/>
          <w:sz w:val="20"/>
          <w:szCs w:val="20"/>
          <w:u w:val="none"/>
        </w:rPr>
        <w:t>;</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12.8.4. Inscrição no Registro Público de Empresas Mercantis onde opera, com averbação no Registro onde tem sede a matriz, no caso de ser o participante sucursal, filial ou agência;</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12.8.5. No caso de sociedade simples: inscrição do ato constitutivo no Registro Civil das Pessoas Jurídicas do local de sua sede, acompanhada de prova da indicação dos seus administradores;</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12.8.7. No caso de empresa ou sociedade estrangeira em funcionamento no País: decreto de autorização;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 xml:space="preserve">12.8.8. </w:t>
      </w:r>
      <w:r>
        <w:rPr>
          <w:rFonts w:cs="Verdana" w:ascii="Verdana" w:hAnsi="Verdana"/>
          <w:bCs/>
          <w:color w:val="000000"/>
          <w:sz w:val="20"/>
          <w:szCs w:val="20"/>
          <w:u w:val="none"/>
        </w:rPr>
        <w:t>Os documentos acima deverão estar acompanhados de todas as alterações ou da consolidação respectiva.</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color w:val="000000"/>
          <w:sz w:val="20"/>
          <w:szCs w:val="20"/>
          <w:u w:val="none"/>
        </w:rPr>
        <w:t>12.09. Qualificação Econômico-Financeira</w:t>
      </w:r>
      <w:r>
        <w:rPr>
          <w:rFonts w:cs="Verdana" w:ascii="Verdana" w:hAnsi="Verdana"/>
          <w:color w:val="000000"/>
          <w:sz w:val="20"/>
          <w:szCs w:val="20"/>
          <w:u w:val="none"/>
        </w:rPr>
        <w:t>.</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u w:val="none"/>
        </w:rPr>
        <w:t>12.</w:t>
      </w:r>
      <w:r>
        <w:rPr>
          <w:rFonts w:eastAsia="Times New Roman" w:cs="Verdana" w:ascii="Verdana" w:hAnsi="Verdana"/>
          <w:b w:val="false"/>
          <w:bCs w:val="false"/>
          <w:color w:val="000000"/>
          <w:sz w:val="20"/>
          <w:szCs w:val="20"/>
          <w:u w:val="none"/>
        </w:rPr>
        <w:t>9</w:t>
      </w:r>
      <w:r>
        <w:rPr>
          <w:rFonts w:cs="Verdana" w:ascii="Verdana" w:hAnsi="Verdana"/>
          <w:b w:val="false"/>
          <w:bCs w:val="false"/>
          <w:color w:val="000000"/>
          <w:sz w:val="20"/>
          <w:szCs w:val="20"/>
          <w:u w:val="none"/>
        </w:rPr>
        <w:t>.1. Certidão negativa de falência, recuperação judicial e extrajudicial, expedida pelo cartório distribuidor da sede da Licitante ou por meio digital, emitida em até 30 (trinta) dias anteriores à data de abertura da Dispensa de Licitação;</w:t>
      </w:r>
    </w:p>
    <w:p>
      <w:pPr>
        <w:pStyle w:val="Normal"/>
        <w:tabs>
          <w:tab w:val="clear" w:pos="708"/>
          <w:tab w:val="left" w:pos="850" w:leader="none"/>
        </w:tabs>
        <w:spacing w:lineRule="auto" w:line="276" w:before="57" w:after="57"/>
        <w:ind w:hanging="0" w:left="0" w:right="0"/>
        <w:jc w:val="both"/>
        <w:rPr>
          <w:rFonts w:ascii="Verdana" w:hAnsi="Verdana"/>
          <w:sz w:val="20"/>
          <w:szCs w:val="20"/>
        </w:rPr>
      </w:pPr>
      <w:r>
        <w:rPr>
          <w:rFonts w:cs="Verdana" w:ascii="Verdana" w:hAnsi="Verdana"/>
          <w:b w:val="false"/>
          <w:bCs w:val="false"/>
          <w:color w:val="000000"/>
          <w:sz w:val="20"/>
          <w:szCs w:val="20"/>
          <w:u w:val="none"/>
        </w:rPr>
        <w:t>12.</w:t>
      </w:r>
      <w:r>
        <w:rPr>
          <w:rFonts w:eastAsia="Times New Roman" w:cs="Verdana" w:ascii="Verdana" w:hAnsi="Verdana"/>
          <w:b w:val="false"/>
          <w:bCs w:val="false"/>
          <w:color w:val="000000"/>
          <w:sz w:val="20"/>
          <w:szCs w:val="20"/>
          <w:u w:val="none"/>
        </w:rPr>
        <w:t>9</w:t>
      </w:r>
      <w:r>
        <w:rPr>
          <w:rFonts w:cs="Verdana" w:ascii="Verdana" w:hAnsi="Verdana"/>
          <w:b w:val="false"/>
          <w:bCs w:val="false"/>
          <w:color w:val="000000"/>
          <w:sz w:val="20"/>
          <w:szCs w:val="20"/>
          <w:u w:val="none"/>
        </w:rPr>
        <w:t>.2.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76" w:before="57" w:after="57"/>
        <w:ind w:hanging="0" w:left="0" w:right="0"/>
        <w:jc w:val="both"/>
        <w:rPr>
          <w:rFonts w:ascii="Verdana" w:hAnsi="Verdana"/>
          <w:sz w:val="20"/>
          <w:szCs w:val="20"/>
        </w:rPr>
      </w:pPr>
      <w:r>
        <w:rPr>
          <w:rFonts w:cs="Verdana" w:ascii="Verdana" w:hAnsi="Verdana"/>
          <w:b w:val="false"/>
          <w:bCs w:val="false"/>
          <w:sz w:val="20"/>
          <w:szCs w:val="20"/>
          <w:u w:val="none"/>
        </w:rPr>
        <w:t>12.</w:t>
      </w:r>
      <w:r>
        <w:rPr>
          <w:rFonts w:eastAsia="Times New Roman" w:cs="Verdana" w:ascii="Verdana" w:hAnsi="Verdana"/>
          <w:b w:val="false"/>
          <w:bCs w:val="false"/>
          <w:sz w:val="20"/>
          <w:szCs w:val="20"/>
          <w:u w:val="none"/>
        </w:rPr>
        <w:t>9</w:t>
      </w:r>
      <w:r>
        <w:rPr>
          <w:rFonts w:cs="Verdana" w:ascii="Verdana" w:hAnsi="Verdana"/>
          <w:b w:val="false"/>
          <w:bCs w:val="false"/>
          <w:sz w:val="20"/>
          <w:szCs w:val="20"/>
          <w:u w:val="none"/>
        </w:rPr>
        <w:t>.3. Para a contagem do prazo estabelecido na letra “a” deste capítulo, será contado a partir do primeiro dia que antecede a data da realização desta dispensa de licitação.</w:t>
      </w:r>
    </w:p>
    <w:p>
      <w:pPr>
        <w:pStyle w:val="Normal"/>
        <w:tabs>
          <w:tab w:val="clear" w:pos="708"/>
          <w:tab w:val="left" w:pos="850" w:leader="none"/>
        </w:tabs>
        <w:spacing w:lineRule="auto" w:line="276" w:before="57" w:after="57"/>
        <w:ind w:hanging="0" w:left="0" w:right="0"/>
        <w:jc w:val="both"/>
        <w:rPr>
          <w:rFonts w:ascii="Verdana" w:hAnsi="Verdana"/>
          <w:sz w:val="20"/>
          <w:szCs w:val="20"/>
        </w:rPr>
      </w:pPr>
      <w:r>
        <w:rPr>
          <w:rFonts w:cs="Verdana" w:ascii="Verdana" w:hAnsi="Verdana"/>
          <w:b w:val="false"/>
          <w:bCs w:val="false"/>
          <w:iCs/>
          <w:color w:val="000000"/>
          <w:sz w:val="20"/>
          <w:szCs w:val="20"/>
          <w:u w:val="none"/>
          <w:lang w:eastAsia="en-US"/>
        </w:rPr>
        <w:t>12.</w:t>
      </w:r>
      <w:r>
        <w:rPr>
          <w:rFonts w:eastAsia="Times New Roman" w:cs="Verdana" w:ascii="Verdana" w:hAnsi="Verdana"/>
          <w:b w:val="false"/>
          <w:bCs w:val="false"/>
          <w:iCs/>
          <w:color w:val="000000"/>
          <w:sz w:val="20"/>
          <w:szCs w:val="20"/>
          <w:u w:val="none"/>
          <w:lang w:eastAsia="en-US"/>
        </w:rPr>
        <w:t>9</w:t>
      </w:r>
      <w:r>
        <w:rPr>
          <w:rFonts w:cs="Verdana" w:ascii="Verdana" w:hAnsi="Verdana"/>
          <w:b w:val="false"/>
          <w:bCs w:val="false"/>
          <w:iCs/>
          <w:color w:val="000000"/>
          <w:sz w:val="20"/>
          <w:szCs w:val="20"/>
          <w:u w:val="none"/>
          <w:lang w:eastAsia="en-US"/>
        </w:rPr>
        <w:t>.4.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pacing w:lineRule="auto" w:line="276" w:before="57" w:after="57"/>
        <w:ind w:hanging="0" w:left="0" w:right="0"/>
        <w:jc w:val="both"/>
        <w:rPr>
          <w:rFonts w:ascii="Verdana" w:hAnsi="Verdana"/>
          <w:sz w:val="20"/>
          <w:szCs w:val="20"/>
        </w:rPr>
      </w:pPr>
      <w:r>
        <w:rPr>
          <w:rFonts w:ascii="Verdana" w:hAnsi="Verdana"/>
          <w:sz w:val="20"/>
          <w:szCs w:val="20"/>
        </w:rPr>
      </w:r>
    </w:p>
    <w:p>
      <w:pPr>
        <w:pStyle w:val="Normal"/>
        <w:spacing w:lineRule="auto" w:line="276" w:before="57" w:after="57"/>
        <w:ind w:hanging="0" w:left="0" w:right="0"/>
        <w:jc w:val="both"/>
        <w:rPr>
          <w:rFonts w:ascii="Verdana" w:hAnsi="Verdana"/>
          <w:sz w:val="20"/>
          <w:szCs w:val="20"/>
        </w:rPr>
      </w:pPr>
      <w:r>
        <w:rPr>
          <w:rFonts w:ascii="Verdana" w:hAnsi="Verdana"/>
          <w:b/>
          <w:bCs/>
          <w:sz w:val="20"/>
          <w:szCs w:val="20"/>
          <w:u w:val="none"/>
        </w:rPr>
        <w:t>13. CRITÉRIOS DE PAGAMENTO</w:t>
      </w:r>
    </w:p>
    <w:p>
      <w:pPr>
        <w:pStyle w:val="Normal"/>
        <w:spacing w:lineRule="auto" w:line="276" w:before="57" w:after="57"/>
        <w:ind w:hanging="0" w:left="0" w:right="0"/>
        <w:jc w:val="both"/>
        <w:rPr>
          <w:rFonts w:ascii="Verdana" w:hAnsi="Verdana"/>
          <w:sz w:val="20"/>
          <w:szCs w:val="20"/>
        </w:rPr>
      </w:pPr>
      <w:r>
        <w:rPr>
          <w:rFonts w:ascii="Verdana" w:hAnsi="Verdana"/>
          <w:b w:val="false"/>
          <w:bCs w:val="false"/>
          <w:sz w:val="20"/>
          <w:szCs w:val="20"/>
          <w:u w:val="none"/>
          <w:lang w:eastAsia="en-US"/>
        </w:rPr>
        <w:t xml:space="preserve">13.1. Recebida a Nota Fiscal ou documento de cobrança equivalente, correrá o prazo de </w:t>
      </w:r>
      <w:r>
        <w:rPr>
          <w:rFonts w:eastAsia="Times New Roman" w:cs="Times New Roman" w:ascii="Verdana" w:hAnsi="Verdana"/>
          <w:b w:val="false"/>
          <w:bCs w:val="false"/>
          <w:sz w:val="20"/>
          <w:szCs w:val="20"/>
          <w:u w:val="none"/>
          <w:lang w:eastAsia="en-US"/>
        </w:rPr>
        <w:t>(30) trinta</w:t>
      </w:r>
      <w:r>
        <w:rPr>
          <w:rFonts w:ascii="Verdana" w:hAnsi="Verdana"/>
          <w:b w:val="false"/>
          <w:bCs w:val="false"/>
          <w:sz w:val="20"/>
          <w:szCs w:val="20"/>
          <w:u w:val="none"/>
          <w:lang w:eastAsia="en-US"/>
        </w:rPr>
        <w:t xml:space="preserve"> dias úteis para fins de liquidação, na forma desta seção, prorrogáveis por igual período.</w:t>
      </w:r>
    </w:p>
    <w:p>
      <w:pPr>
        <w:pStyle w:val="Normal"/>
        <w:spacing w:lineRule="auto" w:line="276" w:before="57" w:after="57"/>
        <w:ind w:hanging="0" w:left="0" w:right="0"/>
        <w:jc w:val="both"/>
        <w:rPr/>
      </w:pPr>
      <w:r>
        <w:rPr>
          <w:rFonts w:ascii="Verdana" w:hAnsi="Verdana"/>
          <w:b w:val="false"/>
          <w:bCs w:val="false"/>
          <w:sz w:val="20"/>
          <w:szCs w:val="20"/>
          <w:u w:val="none"/>
        </w:rPr>
        <w:t xml:space="preserve">13.2.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32"/>
          <w:sz w:val="20"/>
          <w:u w:val="none"/>
          <w:b w:val="false"/>
          <w:szCs w:val="20"/>
          <w:bCs w:val="false"/>
          <w:rFonts w:ascii="Verdana" w:hAnsi="Verdana"/>
          <w:color w:val="000000"/>
        </w:rPr>
        <w:instrText xml:space="preserve"> HYPERLINK "http://www.planalto.gov.br/ccivil_03/_ato2019-2022/2021/lei/L14133.htm" \l "art75"</w:instrText>
      </w:r>
      <w:r>
        <w:rPr>
          <w:rStyle w:val="ListLabel32"/>
          <w:sz w:val="20"/>
          <w:u w:val="none"/>
          <w:b w:val="false"/>
          <w:szCs w:val="20"/>
          <w:bCs w:val="false"/>
          <w:rFonts w:ascii="Verdana" w:hAnsi="Verdana"/>
          <w:color w:val="000000"/>
        </w:rPr>
        <w:fldChar w:fldCharType="separate"/>
      </w:r>
      <w:r>
        <w:rPr>
          <w:rStyle w:val="ListLabel32"/>
          <w:rFonts w:ascii="Verdana" w:hAnsi="Verdana"/>
          <w:b w:val="false"/>
          <w:bCs w:val="false"/>
          <w:color w:val="000000"/>
          <w:sz w:val="20"/>
          <w:szCs w:val="20"/>
          <w:u w:val="none"/>
        </w:rPr>
        <w:t>inciso II do art. 75 da Lei nº 14.133, de 2021</w:t>
      </w:r>
      <w:r>
        <w:rPr>
          <w:rStyle w:val="ListLabel32"/>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276" w:before="57" w:after="57"/>
        <w:ind w:hanging="0" w:left="0" w:right="0"/>
        <w:jc w:val="both"/>
        <w:rPr>
          <w:rFonts w:ascii="Verdana" w:hAnsi="Verdana"/>
          <w:sz w:val="20"/>
          <w:szCs w:val="20"/>
        </w:rPr>
      </w:pPr>
      <w:r>
        <w:rPr>
          <w:rFonts w:ascii="Verdana" w:hAnsi="Verdana"/>
          <w:b w:val="false"/>
          <w:bCs w:val="false"/>
          <w:sz w:val="20"/>
          <w:szCs w:val="20"/>
          <w:u w:val="none"/>
        </w:rPr>
        <w:t xml:space="preserve">1233.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76" w:before="57" w:after="57"/>
        <w:ind w:hanging="0" w:left="0" w:right="0"/>
        <w:jc w:val="both"/>
        <w:rPr>
          <w:rFonts w:ascii="Verdana" w:hAnsi="Verdana"/>
          <w:sz w:val="20"/>
          <w:szCs w:val="20"/>
        </w:rPr>
      </w:pPr>
      <w:r>
        <w:rPr>
          <w:rFonts w:ascii="Verdana" w:hAnsi="Verdana"/>
          <w:b w:val="false"/>
          <w:bCs w:val="false"/>
          <w:sz w:val="20"/>
          <w:szCs w:val="20"/>
          <w:u w:val="none"/>
        </w:rPr>
        <w:t>O prazo de validade;</w:t>
      </w:r>
    </w:p>
    <w:p>
      <w:pPr>
        <w:pStyle w:val="Normal"/>
        <w:numPr>
          <w:ilvl w:val="0"/>
          <w:numId w:val="3"/>
        </w:numPr>
        <w:tabs>
          <w:tab w:val="clear" w:pos="708"/>
          <w:tab w:val="left" w:pos="563" w:leader="none"/>
        </w:tabs>
        <w:spacing w:lineRule="auto" w:line="276" w:before="57" w:after="57"/>
        <w:jc w:val="both"/>
        <w:rPr>
          <w:rFonts w:ascii="Verdana" w:hAnsi="Verdana"/>
          <w:sz w:val="20"/>
          <w:szCs w:val="20"/>
        </w:rPr>
      </w:pPr>
      <w:r>
        <w:rPr>
          <w:rFonts w:ascii="Verdana" w:hAnsi="Verdana"/>
          <w:b w:val="false"/>
          <w:bCs w:val="false"/>
          <w:sz w:val="20"/>
          <w:szCs w:val="20"/>
          <w:u w:val="none"/>
        </w:rPr>
        <w:t xml:space="preserve">A data da emissão; </w:t>
      </w:r>
    </w:p>
    <w:p>
      <w:pPr>
        <w:pStyle w:val="Normal"/>
        <w:numPr>
          <w:ilvl w:val="0"/>
          <w:numId w:val="3"/>
        </w:numPr>
        <w:tabs>
          <w:tab w:val="clear" w:pos="708"/>
          <w:tab w:val="left" w:pos="563" w:leader="none"/>
        </w:tabs>
        <w:spacing w:lineRule="auto" w:line="276" w:before="57" w:after="57"/>
        <w:jc w:val="both"/>
        <w:rPr>
          <w:rFonts w:ascii="Verdana" w:hAnsi="Verdana"/>
          <w:sz w:val="20"/>
          <w:szCs w:val="20"/>
        </w:rPr>
      </w:pPr>
      <w:r>
        <w:rPr>
          <w:rFonts w:ascii="Verdana" w:hAnsi="Verdana"/>
          <w:b w:val="false"/>
          <w:bCs w:val="false"/>
          <w:sz w:val="20"/>
          <w:szCs w:val="20"/>
          <w:u w:val="none"/>
        </w:rPr>
        <w:t xml:space="preserve">Os dados do contrato e do órgão contratante; </w:t>
      </w:r>
    </w:p>
    <w:p>
      <w:pPr>
        <w:pStyle w:val="Normal"/>
        <w:numPr>
          <w:ilvl w:val="0"/>
          <w:numId w:val="3"/>
        </w:numPr>
        <w:tabs>
          <w:tab w:val="clear" w:pos="708"/>
          <w:tab w:val="left" w:pos="563" w:leader="none"/>
        </w:tabs>
        <w:spacing w:lineRule="auto" w:line="276" w:before="57" w:after="57"/>
        <w:jc w:val="both"/>
        <w:rPr>
          <w:rFonts w:ascii="Verdana" w:hAnsi="Verdana"/>
          <w:sz w:val="20"/>
          <w:szCs w:val="20"/>
        </w:rPr>
      </w:pPr>
      <w:r>
        <w:rPr>
          <w:rFonts w:ascii="Verdana" w:hAnsi="Verdana"/>
          <w:b w:val="false"/>
          <w:bCs w:val="false"/>
          <w:sz w:val="20"/>
          <w:szCs w:val="20"/>
          <w:u w:val="none"/>
        </w:rPr>
        <w:t xml:space="preserve">O período respectivo de execução do contrato; </w:t>
      </w:r>
    </w:p>
    <w:p>
      <w:pPr>
        <w:pStyle w:val="Normal"/>
        <w:numPr>
          <w:ilvl w:val="0"/>
          <w:numId w:val="3"/>
        </w:numPr>
        <w:tabs>
          <w:tab w:val="clear" w:pos="708"/>
          <w:tab w:val="left" w:pos="563" w:leader="none"/>
        </w:tabs>
        <w:spacing w:lineRule="auto" w:line="276" w:before="57" w:after="57"/>
        <w:jc w:val="both"/>
        <w:rPr>
          <w:rFonts w:ascii="Verdana" w:hAnsi="Verdana"/>
          <w:sz w:val="20"/>
          <w:szCs w:val="20"/>
        </w:rPr>
      </w:pPr>
      <w:r>
        <w:rPr>
          <w:rFonts w:ascii="Verdana" w:hAnsi="Verdana"/>
          <w:b w:val="false"/>
          <w:bCs w:val="false"/>
          <w:sz w:val="20"/>
          <w:szCs w:val="20"/>
          <w:u w:val="none"/>
        </w:rPr>
        <w:t xml:space="preserve">O valor a pagar; e </w:t>
      </w:r>
    </w:p>
    <w:p>
      <w:pPr>
        <w:pStyle w:val="Normal"/>
        <w:numPr>
          <w:ilvl w:val="0"/>
          <w:numId w:val="3"/>
        </w:numPr>
        <w:tabs>
          <w:tab w:val="clear" w:pos="708"/>
          <w:tab w:val="left" w:pos="563" w:leader="none"/>
        </w:tabs>
        <w:spacing w:lineRule="auto" w:line="276" w:before="57" w:after="57"/>
        <w:jc w:val="both"/>
        <w:rPr>
          <w:rFonts w:ascii="Verdana" w:hAnsi="Verdana"/>
          <w:sz w:val="20"/>
          <w:szCs w:val="20"/>
        </w:rPr>
      </w:pPr>
      <w:r>
        <w:rPr>
          <w:rFonts w:ascii="Verdana" w:hAnsi="Verdana"/>
          <w:b w:val="false"/>
          <w:bCs w:val="false"/>
          <w:sz w:val="20"/>
          <w:szCs w:val="20"/>
          <w:u w:val="none"/>
        </w:rPr>
        <w:t>Eventual destaque do valor de retenções tributárias cabíveis.</w:t>
      </w:r>
    </w:p>
    <w:p>
      <w:pPr>
        <w:pStyle w:val="Normal"/>
        <w:tabs>
          <w:tab w:val="clear" w:pos="708"/>
          <w:tab w:val="left" w:pos="0" w:leader="none"/>
          <w:tab w:val="left" w:pos="563" w:leader="none"/>
        </w:tabs>
        <w:spacing w:lineRule="auto" w:line="276" w:before="57" w:after="57"/>
        <w:ind w:hanging="0" w:left="0" w:right="0"/>
        <w:jc w:val="both"/>
        <w:rPr>
          <w:rFonts w:ascii="Verdana" w:hAnsi="Verdana"/>
          <w:sz w:val="20"/>
          <w:szCs w:val="20"/>
        </w:rPr>
      </w:pPr>
      <w:r>
        <w:rPr>
          <w:rFonts w:ascii="Verdana" w:hAnsi="Verdana"/>
          <w:b w:val="false"/>
          <w:bCs w:val="false"/>
          <w:sz w:val="20"/>
          <w:szCs w:val="20"/>
          <w:u w:val="none"/>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before="57" w:after="57"/>
        <w:ind w:hanging="0" w:left="0" w:right="0"/>
        <w:jc w:val="both"/>
        <w:rPr/>
      </w:pPr>
      <w:r>
        <w:rPr>
          <w:rFonts w:ascii="Verdana" w:hAnsi="Verdana"/>
          <w:b w:val="false"/>
          <w:bCs w:val="false"/>
          <w:sz w:val="20"/>
          <w:szCs w:val="20"/>
          <w:u w:val="none"/>
        </w:rPr>
        <w:t>13.5. A</w:t>
      </w:r>
      <w:r>
        <w:rPr>
          <w:rFonts w:ascii="Verdana" w:hAnsi="Verdana"/>
          <w:b w:val="false"/>
          <w:bCs w:val="false"/>
          <w:sz w:val="20"/>
          <w:szCs w:val="20"/>
          <w:u w:val="none"/>
          <w:lang w:eastAsia="en-US"/>
        </w:rPr>
        <w:t xml:space="preserve"> nota fiscal ou instrumento de cobrança equivalente deverá ser obrigatoriamente acompanhado da comprovação da regularidade fiscal</w:t>
      </w:r>
      <w:r>
        <w:rPr>
          <w:rStyle w:val="InternetLink"/>
          <w:rFonts w:ascii="Verdana" w:hAnsi="Verdana"/>
          <w:b w:val="false"/>
          <w:bCs w:val="false"/>
          <w:sz w:val="20"/>
          <w:szCs w:val="20"/>
          <w:u w:val="none"/>
          <w:lang w:eastAsia="en-US"/>
        </w:rPr>
        <w:t>.</w:t>
      </w:r>
    </w:p>
    <w:p>
      <w:pPr>
        <w:pStyle w:val="Normal"/>
        <w:spacing w:lineRule="auto" w:line="276" w:before="57" w:after="57"/>
        <w:ind w:hanging="0" w:left="0" w:right="0"/>
        <w:jc w:val="both"/>
        <w:rPr>
          <w:rFonts w:ascii="Verdana" w:hAnsi="Verdana"/>
          <w:sz w:val="20"/>
          <w:szCs w:val="20"/>
        </w:rPr>
      </w:pPr>
      <w:r>
        <w:rPr>
          <w:rFonts w:ascii="Verdana" w:hAnsi="Verdana"/>
          <w:b w:val="false"/>
          <w:bCs w:val="false"/>
          <w:sz w:val="20"/>
          <w:szCs w:val="20"/>
          <w:u w:val="none"/>
        </w:rPr>
        <w:t>13.6. O pagamento será efetuado no prazo de até 30 (trinta) dias úteis contados da finalização da liquidação da despesa.</w:t>
      </w:r>
    </w:p>
    <w:p>
      <w:pPr>
        <w:pStyle w:val="Normal"/>
        <w:spacing w:lineRule="auto" w:line="276" w:before="57" w:after="57"/>
        <w:ind w:hanging="0" w:left="0" w:right="0"/>
        <w:jc w:val="both"/>
        <w:rPr>
          <w:rFonts w:ascii="Verdana" w:hAnsi="Verdana"/>
          <w:sz w:val="20"/>
          <w:szCs w:val="20"/>
        </w:rPr>
      </w:pPr>
      <w:r>
        <w:rPr>
          <w:rFonts w:ascii="Verdana" w:hAnsi="Verdana"/>
          <w:b w:val="false"/>
          <w:bCs w:val="false"/>
          <w:sz w:val="20"/>
          <w:szCs w:val="20"/>
          <w:u w:val="none"/>
        </w:rPr>
        <w:t>13.7. O pagamento será realizado por meio de ordem bancária, para crédito em banco, agência e conta corrente indicados pelo contratado.</w:t>
      </w:r>
    </w:p>
    <w:p>
      <w:pPr>
        <w:pStyle w:val="Normal"/>
        <w:spacing w:lineRule="auto" w:line="276" w:before="57" w:after="57"/>
        <w:ind w:hanging="0" w:left="0" w:right="0"/>
        <w:jc w:val="both"/>
        <w:rPr>
          <w:rFonts w:ascii="Verdana" w:hAnsi="Verdana"/>
          <w:sz w:val="20"/>
          <w:szCs w:val="20"/>
        </w:rPr>
      </w:pPr>
      <w:r>
        <w:rPr>
          <w:rFonts w:ascii="Verdana" w:hAnsi="Verdana"/>
          <w:b w:val="false"/>
          <w:bCs w:val="false"/>
          <w:sz w:val="20"/>
          <w:szCs w:val="20"/>
          <w:u w:val="none"/>
        </w:rPr>
        <w:t>12.8. Será considerada data do pagamento o dia em que constar como emitida a ordem bancária para pagamento.</w:t>
      </w:r>
    </w:p>
    <w:p>
      <w:pPr>
        <w:pStyle w:val="Normal"/>
        <w:spacing w:lineRule="auto" w:line="276" w:before="57" w:after="57"/>
        <w:ind w:hanging="0" w:left="0" w:right="0"/>
        <w:jc w:val="both"/>
        <w:rPr>
          <w:rFonts w:ascii="Verdana" w:hAnsi="Verdana"/>
          <w:sz w:val="20"/>
          <w:szCs w:val="20"/>
        </w:rPr>
      </w:pPr>
      <w:r>
        <w:rPr>
          <w:rFonts w:ascii="Verdana" w:hAnsi="Verdana"/>
          <w:b w:val="false"/>
          <w:bCs w:val="false"/>
          <w:sz w:val="20"/>
          <w:szCs w:val="20"/>
          <w:u w:val="none"/>
        </w:rPr>
        <w:t>13.9. Quando do pagamento, será efetuada a retenção tributária prevista na legislação aplicável.</w:t>
      </w:r>
    </w:p>
    <w:p>
      <w:pPr>
        <w:pStyle w:val="Normal"/>
        <w:spacing w:lineRule="auto" w:line="276" w:before="57" w:after="57"/>
        <w:ind w:hanging="0" w:left="0" w:right="0"/>
        <w:jc w:val="both"/>
        <w:rPr/>
      </w:pPr>
      <w:r>
        <w:rPr>
          <w:rFonts w:ascii="Verdana" w:hAnsi="Verdana"/>
          <w:b w:val="false"/>
          <w:bCs w:val="false"/>
          <w:sz w:val="20"/>
          <w:szCs w:val="20"/>
          <w:u w:val="none"/>
          <w:lang w:eastAsia="en-US"/>
        </w:rPr>
        <w:t xml:space="preserve">13.10. O contratado regularmente optante pelo Simples Nacional, nos termos da </w:t>
      </w:r>
      <w:hyperlink r:id="rId9">
        <w:r>
          <w:rPr>
            <w:rStyle w:val="ListLabel33"/>
            <w:rFonts w:ascii="Verdana" w:hAnsi="Verdana"/>
            <w:b w:val="false"/>
            <w:bCs w:val="false"/>
            <w:sz w:val="20"/>
            <w:szCs w:val="20"/>
            <w:u w:val="none"/>
            <w:lang w:eastAsia="en-US"/>
          </w:rPr>
          <w:t>Lei Complementar nº 123, de 2006</w:t>
        </w:r>
      </w:hyperlink>
      <w:r>
        <w:rPr>
          <w:rFonts w:ascii="Verdana" w:hAnsi="Verdana"/>
          <w:b w:val="false"/>
          <w:bCs w:val="false"/>
          <w:sz w:val="20"/>
          <w:szCs w:val="20"/>
          <w:u w:val="none"/>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before="57" w:after="57"/>
        <w:ind w:hanging="0" w:left="0" w:right="0"/>
        <w:jc w:val="both"/>
        <w:rPr>
          <w:rFonts w:ascii="Verdana" w:hAnsi="Verdana"/>
          <w:sz w:val="20"/>
          <w:szCs w:val="20"/>
        </w:rPr>
      </w:pPr>
      <w:r>
        <w:rPr>
          <w:rFonts w:ascii="Verdana" w:hAnsi="Verdana"/>
          <w:b w:val="false"/>
          <w:bCs w:val="false"/>
          <w:sz w:val="20"/>
          <w:szCs w:val="20"/>
          <w:u w:val="none"/>
          <w:lang w:eastAsia="en-US"/>
        </w:rPr>
        <w:t>13.11.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PargrafodaLista"/>
        <w:tabs>
          <w:tab w:val="clear" w:pos="708"/>
          <w:tab w:val="left" w:pos="518" w:leader="none"/>
        </w:tabs>
        <w:spacing w:lineRule="auto" w:line="276" w:before="57" w:after="57"/>
        <w:ind w:hanging="0" w:left="0" w:right="0"/>
        <w:contextualSpacing w:val="false"/>
        <w:jc w:val="both"/>
        <w:rPr>
          <w:rFonts w:ascii="Verdana" w:hAnsi="Verdana"/>
          <w:sz w:val="20"/>
          <w:szCs w:val="20"/>
        </w:rPr>
      </w:pPr>
      <w:r>
        <w:rPr>
          <w:rFonts w:ascii="Verdana" w:hAnsi="Verdana"/>
          <w:b w:val="false"/>
          <w:bCs w:val="false"/>
          <w:color w:val="000000"/>
          <w:sz w:val="20"/>
          <w:szCs w:val="20"/>
          <w:u w:val="none"/>
        </w:rPr>
        <w:t xml:space="preserve">13.11. </w:t>
      </w:r>
      <w:r>
        <w:rPr>
          <w:rFonts w:ascii="Verdana" w:hAnsi="Verdana"/>
          <w:b w:val="false"/>
          <w:bCs w:val="false"/>
          <w:sz w:val="20"/>
          <w:szCs w:val="20"/>
          <w:u w:val="none"/>
        </w:rPr>
        <w:t xml:space="preserve"> Após o pra</w:t>
      </w:r>
      <w:r>
        <w:rPr>
          <w:rFonts w:ascii="Verdana" w:hAnsi="Verdana"/>
          <w:sz w:val="20"/>
          <w:szCs w:val="20"/>
          <w:u w:val="none"/>
        </w:rPr>
        <w:t>zo acima referenciado, será paga multa financeira nos seguintes termos:</w:t>
      </w:r>
    </w:p>
    <w:p>
      <w:pPr>
        <w:pStyle w:val="PargrafodaLista"/>
        <w:tabs>
          <w:tab w:val="clear" w:pos="708"/>
          <w:tab w:val="left" w:pos="518" w:leader="none"/>
        </w:tabs>
        <w:spacing w:lineRule="auto" w:line="276" w:before="57" w:after="57"/>
        <w:ind w:hanging="0" w:left="0" w:right="0"/>
        <w:contextualSpacing w:val="false"/>
        <w:jc w:val="both"/>
        <w:rPr>
          <w:rFonts w:ascii="Verdana" w:hAnsi="Verdana"/>
          <w:sz w:val="20"/>
          <w:szCs w:val="20"/>
        </w:rPr>
      </w:pPr>
      <w:r>
        <w:rPr>
          <w:rFonts w:cs="Verdana" w:ascii="Verdana" w:hAnsi="Verdana"/>
          <w:sz w:val="20"/>
          <w:szCs w:val="20"/>
          <w:u w:val="none"/>
        </w:rPr>
        <w:tab/>
        <w:tab/>
        <w:tab/>
        <w:tab/>
        <w:tab/>
        <w:tab/>
        <w:t xml:space="preserve">VM = VF </w:t>
      </w:r>
      <w:r>
        <w:rPr>
          <w:rFonts w:cs="Verdana" w:ascii="Verdana" w:hAnsi="Verdana"/>
          <w:sz w:val="20"/>
          <w:szCs w:val="20"/>
          <w:u w:val="none"/>
          <w:vertAlign w:val="subscript"/>
        </w:rPr>
        <w:t>*</w:t>
      </w:r>
      <w:r>
        <w:rPr>
          <w:rFonts w:cs="Verdana" w:ascii="Verdana" w:hAnsi="Verdana"/>
          <w:sz w:val="20"/>
          <w:szCs w:val="20"/>
          <w:u w:val="none"/>
        </w:rPr>
        <w:t xml:space="preserve"> 0,33 </w:t>
      </w:r>
      <w:r>
        <w:rPr>
          <w:rFonts w:cs="Verdana" w:ascii="Verdana" w:hAnsi="Verdana"/>
          <w:sz w:val="20"/>
          <w:szCs w:val="20"/>
          <w:u w:val="none"/>
          <w:vertAlign w:val="subscript"/>
        </w:rPr>
        <w:t>*</w:t>
      </w:r>
      <w:r>
        <w:rPr>
          <w:rFonts w:cs="Verdana" w:ascii="Verdana" w:hAnsi="Verdana"/>
          <w:sz w:val="20"/>
          <w:szCs w:val="20"/>
          <w:u w:val="none"/>
        </w:rPr>
        <w:t xml:space="preserve"> ND</w:t>
      </w:r>
    </w:p>
    <w:p>
      <w:pPr>
        <w:pStyle w:val="PargrafodaLista"/>
        <w:tabs>
          <w:tab w:val="clear" w:pos="708"/>
          <w:tab w:val="left" w:pos="518" w:leader="none"/>
        </w:tabs>
        <w:spacing w:lineRule="auto" w:line="276" w:before="57" w:after="57"/>
        <w:ind w:hanging="0" w:left="0" w:right="0"/>
        <w:contextualSpacing w:val="false"/>
        <w:jc w:val="center"/>
        <w:rPr>
          <w:rFonts w:ascii="Verdana" w:hAnsi="Verdana"/>
          <w:sz w:val="20"/>
          <w:szCs w:val="20"/>
        </w:rPr>
      </w:pPr>
      <w:r>
        <w:rPr>
          <w:rFonts w:cs="Verdana" w:ascii="Verdana" w:hAnsi="Verdana"/>
          <w:sz w:val="20"/>
          <w:szCs w:val="20"/>
          <w:u w:val="none"/>
        </w:rPr>
        <w:t xml:space="preserve">   </w:t>
      </w:r>
      <w:r>
        <w:rPr>
          <w:rFonts w:cs="Verdana" w:ascii="Verdana" w:hAnsi="Verdana"/>
          <w:sz w:val="20"/>
          <w:szCs w:val="20"/>
          <w:u w:val="none"/>
        </w:rPr>
        <w:t>1</w:t>
      </w:r>
      <w:r>
        <w:rPr>
          <w:rFonts w:cs="Verdana" w:ascii="Verdana" w:hAnsi="Verdana"/>
          <w:sz w:val="20"/>
          <w:szCs w:val="20"/>
          <w:u w:val="none"/>
        </w:rPr>
        <w:t>00</w:t>
      </w:r>
    </w:p>
    <w:p>
      <w:pPr>
        <w:pStyle w:val="Normal"/>
        <w:suppressAutoHyphens w:val="false"/>
        <w:spacing w:lineRule="auto" w:line="276" w:before="57" w:after="57"/>
        <w:ind w:hanging="0" w:left="0" w:right="0"/>
        <w:rPr>
          <w:rFonts w:ascii="Verdana" w:hAnsi="Verdana"/>
          <w:sz w:val="20"/>
          <w:szCs w:val="20"/>
        </w:rPr>
      </w:pPr>
      <w:r>
        <w:rPr>
          <w:rFonts w:cs="Arial" w:ascii="Verdana" w:hAnsi="Verdana"/>
          <w:color w:val="000000"/>
          <w:sz w:val="20"/>
          <w:szCs w:val="20"/>
          <w:u w:val="none"/>
        </w:rPr>
        <w:t xml:space="preserve">Onde: </w:t>
      </w:r>
    </w:p>
    <w:p>
      <w:pPr>
        <w:pStyle w:val="Normal"/>
        <w:suppressAutoHyphens w:val="false"/>
        <w:spacing w:lineRule="auto" w:line="276" w:before="57" w:after="57"/>
        <w:ind w:hanging="0" w:left="0" w:right="0"/>
        <w:rPr>
          <w:rFonts w:ascii="Verdana" w:hAnsi="Verdana"/>
          <w:sz w:val="20"/>
          <w:szCs w:val="20"/>
        </w:rPr>
      </w:pPr>
      <w:r>
        <w:rPr>
          <w:rFonts w:cs="Arial" w:ascii="Verdana" w:hAnsi="Verdana"/>
          <w:color w:val="000000"/>
          <w:sz w:val="20"/>
          <w:szCs w:val="20"/>
          <w:u w:val="none"/>
        </w:rPr>
        <w:t xml:space="preserve">VM = Valor da Multa Financeira; </w:t>
      </w:r>
    </w:p>
    <w:p>
      <w:pPr>
        <w:pStyle w:val="Normal"/>
        <w:suppressAutoHyphens w:val="false"/>
        <w:spacing w:lineRule="auto" w:line="276" w:before="57" w:after="57"/>
        <w:ind w:hanging="0" w:left="0" w:right="0"/>
        <w:rPr>
          <w:rFonts w:ascii="Verdana" w:hAnsi="Verdana"/>
          <w:sz w:val="20"/>
          <w:szCs w:val="20"/>
        </w:rPr>
      </w:pPr>
      <w:r>
        <w:rPr>
          <w:rFonts w:cs="Arial" w:ascii="Verdana" w:hAnsi="Verdana"/>
          <w:color w:val="000000"/>
          <w:sz w:val="20"/>
          <w:szCs w:val="20"/>
          <w:u w:val="none"/>
        </w:rPr>
        <w:t xml:space="preserve">VF = Valor da Nota Fiscal; </w:t>
      </w:r>
    </w:p>
    <w:p>
      <w:pPr>
        <w:pStyle w:val="PargrafodaLista"/>
        <w:tabs>
          <w:tab w:val="clear" w:pos="708"/>
          <w:tab w:val="left" w:pos="518" w:leader="none"/>
        </w:tabs>
        <w:spacing w:lineRule="auto" w:line="276" w:before="57" w:after="57"/>
        <w:ind w:hanging="0" w:left="0" w:right="0"/>
        <w:contextualSpacing w:val="false"/>
        <w:rPr>
          <w:rFonts w:ascii="Verdana" w:hAnsi="Verdana"/>
          <w:sz w:val="20"/>
          <w:szCs w:val="20"/>
        </w:rPr>
      </w:pPr>
      <w:r>
        <w:rPr>
          <w:rFonts w:eastAsia="Times New Roman" w:cs="Arial" w:ascii="Verdana" w:hAnsi="Verdana"/>
          <w:color w:val="000000"/>
          <w:sz w:val="20"/>
          <w:szCs w:val="20"/>
          <w:u w:val="none"/>
        </w:rPr>
        <w:t>ND = Número de dias em atraso.</w:t>
      </w:r>
    </w:p>
    <w:p>
      <w:pPr>
        <w:pStyle w:val="PargrafodaLista"/>
        <w:tabs>
          <w:tab w:val="clear" w:pos="708"/>
          <w:tab w:val="left" w:pos="518" w:leader="none"/>
        </w:tabs>
        <w:spacing w:lineRule="auto" w:line="276" w:before="57" w:after="57"/>
        <w:ind w:hanging="0" w:left="0" w:right="0"/>
        <w:contextualSpacing w:val="false"/>
        <w:jc w:val="both"/>
        <w:rPr>
          <w:rFonts w:ascii="Verdana" w:hAnsi="Verdana"/>
          <w:sz w:val="20"/>
          <w:szCs w:val="20"/>
        </w:rPr>
      </w:pPr>
      <w:r>
        <w:rPr>
          <w:rFonts w:eastAsia="Times New Roman" w:cs="Arial" w:ascii="Verdana" w:hAnsi="Verdana"/>
          <w:b w:val="false"/>
          <w:bCs w:val="false"/>
          <w:color w:val="000000"/>
          <w:sz w:val="20"/>
          <w:szCs w:val="20"/>
          <w:u w:val="none"/>
        </w:rPr>
        <w:t xml:space="preserve">13.12.. </w:t>
      </w:r>
      <w:r>
        <w:rPr>
          <w:rFonts w:cs="Arial" w:ascii="Verdana" w:hAnsi="Verdana"/>
          <w:b w:val="false"/>
          <w:bCs w:val="false"/>
          <w:color w:val="000000"/>
          <w:sz w:val="20"/>
          <w:szCs w:val="20"/>
          <w:u w:val="none"/>
        </w:rPr>
        <w:t>A NOTA FISCAL ELETRÔNICA deverá conter o mesmo CNPJ e razão social, apresentad</w:t>
      </w:r>
      <w:r>
        <w:rPr>
          <w:rFonts w:cs="Arial" w:ascii="Verdana" w:hAnsi="Verdana"/>
          <w:b w:val="false"/>
          <w:bCs w:val="false"/>
          <w:color w:val="000000"/>
          <w:sz w:val="20"/>
          <w:szCs w:val="20"/>
          <w:u w:val="none"/>
        </w:rPr>
        <w:t>o</w:t>
      </w:r>
      <w:r>
        <w:rPr>
          <w:rFonts w:cs="Arial" w:ascii="Verdana" w:hAnsi="Verdana"/>
          <w:b w:val="false"/>
          <w:bCs w:val="false"/>
          <w:color w:val="000000"/>
          <w:sz w:val="20"/>
          <w:szCs w:val="20"/>
          <w:u w:val="none"/>
        </w:rPr>
        <w:t>s quando na proposta, assim como, o número da contratação, o (s) objeto (s), os valores unitários e totais.</w:t>
      </w:r>
    </w:p>
    <w:p>
      <w:pPr>
        <w:pStyle w:val="PargrafodaLista"/>
        <w:tabs>
          <w:tab w:val="clear" w:pos="708"/>
          <w:tab w:val="left" w:pos="518" w:leader="none"/>
        </w:tabs>
        <w:spacing w:lineRule="auto" w:line="276" w:before="57" w:after="57"/>
        <w:ind w:hanging="0" w:left="0" w:right="0"/>
        <w:contextualSpacing w:val="false"/>
        <w:jc w:val="both"/>
        <w:rPr>
          <w:rFonts w:ascii="Verdana" w:hAnsi="Verdana"/>
          <w:sz w:val="20"/>
          <w:szCs w:val="20"/>
        </w:rPr>
      </w:pPr>
      <w:r>
        <w:rPr>
          <w:rFonts w:eastAsia="Times New Roman" w:cs="Arial" w:ascii="Verdana" w:hAnsi="Verdana"/>
          <w:b w:val="false"/>
          <w:bCs w:val="false"/>
          <w:color w:val="000000"/>
          <w:sz w:val="20"/>
          <w:szCs w:val="20"/>
          <w:u w:val="none"/>
        </w:rPr>
        <w:t>13.13.</w:t>
      </w:r>
      <w:r>
        <w:rPr>
          <w:rFonts w:cs="Arial" w:ascii="Verdana" w:hAnsi="Verdana"/>
          <w:b w:val="false"/>
          <w:bCs w:val="false"/>
          <w:color w:val="000000"/>
          <w:sz w:val="20"/>
          <w:szCs w:val="20"/>
          <w:u w:val="none"/>
        </w:rPr>
        <w:t xml:space="preserve"> Qualquer alteração feita no contrato social, ato constitutivo ou estatuto deverá ser ois comunicado ao CONTRATANTE, mediante documentação própria, para apreciação da autoridade competente. </w:t>
      </w:r>
    </w:p>
    <w:p>
      <w:pPr>
        <w:pStyle w:val="PargrafodaLista"/>
        <w:tabs>
          <w:tab w:val="clear" w:pos="708"/>
          <w:tab w:val="left" w:pos="518" w:leader="none"/>
        </w:tabs>
        <w:spacing w:lineRule="auto" w:line="276" w:before="57" w:after="57"/>
        <w:ind w:hanging="0" w:left="0" w:right="0"/>
        <w:contextualSpacing w:val="false"/>
        <w:jc w:val="both"/>
        <w:rPr>
          <w:rFonts w:ascii="Verdana" w:hAnsi="Verdana"/>
          <w:sz w:val="20"/>
          <w:szCs w:val="20"/>
        </w:rPr>
      </w:pPr>
      <w:r>
        <w:rPr>
          <w:rFonts w:eastAsia="Times New Roman" w:cs="Arial" w:ascii="Verdana" w:hAnsi="Verdana"/>
          <w:b w:val="false"/>
          <w:bCs w:val="false"/>
          <w:color w:val="000000"/>
          <w:sz w:val="20"/>
          <w:szCs w:val="20"/>
          <w:u w:val="none"/>
        </w:rPr>
        <w:t xml:space="preserve">13.14. </w:t>
      </w:r>
      <w:r>
        <w:rPr>
          <w:rFonts w:cs="Arial" w:ascii="Verdana" w:hAnsi="Verdana"/>
          <w:b w:val="false"/>
          <w:bCs w:val="false"/>
          <w:color w:val="000000"/>
          <w:sz w:val="20"/>
          <w:szCs w:val="20"/>
          <w:u w:val="none"/>
        </w:rPr>
        <w:t>O CONTRATANTE poderá deduzir do pagamento importâncias que a qualquer título lhe forem devidos pela empresa CONTRATADA, em decorrência de descumprimento de suas obrigações.</w:t>
      </w:r>
    </w:p>
    <w:p>
      <w:pPr>
        <w:pStyle w:val="PargrafodaLista"/>
        <w:tabs>
          <w:tab w:val="clear" w:pos="708"/>
          <w:tab w:val="left" w:pos="518" w:leader="none"/>
        </w:tabs>
        <w:spacing w:lineRule="auto" w:line="276" w:before="57" w:after="57"/>
        <w:ind w:hanging="0" w:left="0" w:right="0"/>
        <w:contextualSpacing w:val="false"/>
        <w:jc w:val="both"/>
        <w:rPr>
          <w:rFonts w:ascii="Verdana" w:hAnsi="Verdana"/>
          <w:sz w:val="20"/>
          <w:szCs w:val="20"/>
        </w:rPr>
      </w:pPr>
      <w:r>
        <w:rPr>
          <w:rFonts w:cs="Arial" w:ascii="Verdana" w:hAnsi="Verdana"/>
          <w:b w:val="false"/>
          <w:bCs w:val="false"/>
          <w:sz w:val="20"/>
          <w:szCs w:val="20"/>
          <w:u w:val="none"/>
        </w:rPr>
        <w:t xml:space="preserve">13.15. </w:t>
      </w:r>
      <w:r>
        <w:rPr>
          <w:rFonts w:cs="Arial" w:ascii="Verdana" w:hAnsi="Verdana"/>
          <w:b w:val="false"/>
          <w:bCs w:val="false"/>
          <w:sz w:val="20"/>
          <w:szCs w:val="20"/>
          <w:u w:val="none"/>
          <w:lang w:eastAsia="en-US"/>
        </w:rPr>
        <w:t xml:space="preserve">Para a efetivação do pagamento, a CONTRATADA deverá manter as </w:t>
      </w:r>
      <w:r>
        <w:rPr>
          <w:rFonts w:cs="Arial" w:ascii="Verdana" w:hAnsi="Verdana"/>
          <w:b w:val="false"/>
          <w:bCs w:val="false"/>
          <w:sz w:val="20"/>
          <w:szCs w:val="20"/>
          <w:u w:val="none"/>
          <w:lang w:eastAsia="pt-BR"/>
        </w:rPr>
        <w:t>condições relativas à proposta de preço e a habilitação.</w:t>
      </w:r>
    </w:p>
    <w:p>
      <w:pPr>
        <w:pStyle w:val="PargrafodaLista"/>
        <w:tabs>
          <w:tab w:val="clear" w:pos="708"/>
          <w:tab w:val="left" w:pos="518" w:leader="none"/>
        </w:tabs>
        <w:spacing w:lineRule="auto" w:line="276" w:before="57" w:after="57"/>
        <w:ind w:hanging="0" w:left="0" w:right="0"/>
        <w:contextualSpacing w:val="false"/>
        <w:rPr>
          <w:rFonts w:cs="Arial"/>
          <w:b w:val="false"/>
          <w:bCs w:val="false"/>
          <w:u w:val="none"/>
          <w:lang w:eastAsia="pt-BR"/>
        </w:rPr>
      </w:pPr>
      <w:r>
        <w:rPr>
          <w:rFonts w:ascii="Verdana" w:hAnsi="Verdana"/>
          <w:sz w:val="20"/>
          <w:szCs w:val="20"/>
        </w:rPr>
      </w:r>
    </w:p>
    <w:p>
      <w:pPr>
        <w:pStyle w:val="Normal"/>
        <w:suppressAutoHyphens w:val="false"/>
        <w:spacing w:lineRule="auto" w:line="276" w:before="57" w:after="57"/>
        <w:ind w:hanging="0" w:left="0" w:right="0"/>
        <w:jc w:val="both"/>
        <w:rPr>
          <w:rFonts w:ascii="Verdana" w:hAnsi="Verdana"/>
          <w:sz w:val="20"/>
          <w:szCs w:val="20"/>
        </w:rPr>
      </w:pPr>
      <w:r>
        <w:rPr>
          <w:rFonts w:cs="Arial" w:ascii="Verdana" w:hAnsi="Verdana"/>
          <w:b/>
          <w:bCs/>
          <w:sz w:val="20"/>
          <w:szCs w:val="20"/>
        </w:rPr>
        <w:t>14. CONTRATAÇÕES CORRELATAS E/OU INTERDEPENDENTES</w:t>
      </w:r>
    </w:p>
    <w:p>
      <w:pPr>
        <w:pStyle w:val="Normal"/>
        <w:suppressAutoHyphens w:val="false"/>
        <w:spacing w:lineRule="auto" w:line="276" w:before="57" w:after="57"/>
        <w:ind w:hanging="0" w:left="0" w:right="0"/>
        <w:jc w:val="both"/>
        <w:rPr>
          <w:rFonts w:ascii="Verdana" w:hAnsi="Verdana"/>
          <w:sz w:val="20"/>
          <w:szCs w:val="20"/>
        </w:rPr>
      </w:pPr>
      <w:r>
        <w:rPr>
          <w:rFonts w:ascii="Verdana" w:hAnsi="Verdana"/>
          <w:b w:val="false"/>
          <w:bCs w:val="false"/>
          <w:sz w:val="20"/>
          <w:szCs w:val="20"/>
        </w:rPr>
        <w:t>14.1. Não se verifica contratações correlatas ou interdependentes para a viabilidade e contratação desta demanda.</w:t>
      </w:r>
    </w:p>
    <w:p>
      <w:pPr>
        <w:pStyle w:val="Normal"/>
        <w:tabs>
          <w:tab w:val="clear" w:pos="708"/>
          <w:tab w:val="left" w:pos="6994" w:leader="none"/>
        </w:tabs>
        <w:suppressAutoHyphens w:val="false"/>
        <w:spacing w:lineRule="auto" w:line="276" w:before="57" w:after="57"/>
        <w:ind w:hanging="0" w:left="0" w:right="0"/>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76" w:before="57" w:after="57"/>
        <w:ind w:hanging="0" w:left="0" w:right="0"/>
        <w:jc w:val="both"/>
        <w:rPr>
          <w:rFonts w:ascii="Verdana" w:hAnsi="Verdana"/>
          <w:sz w:val="20"/>
          <w:szCs w:val="20"/>
        </w:rPr>
      </w:pPr>
      <w:r>
        <w:rPr>
          <w:rFonts w:cs="Arial" w:ascii="Verdana" w:hAnsi="Verdana"/>
          <w:b/>
          <w:bCs/>
          <w:sz w:val="20"/>
          <w:szCs w:val="20"/>
        </w:rPr>
        <w:t>15. PROVIDÊNCIAS A SEREM ADOTADAS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15.1 A Secretaria Municipal de Educação deverá acompanhar, fiscalizar, comprovar e relatar, por escrito, as eventuais irregularidades na execução dos serviços. Deverão ser nomeados quantidade de fiscais suficientes para um efetivo acompanhamento da execução do contrato.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 xml:space="preserve">15.2 No caso de interrupção das entregas, por parte da contratada, o gestor do contrato tomará as providências cabíveis, de acordo com cláusulas do edital e contrato. </w:t>
      </w:r>
    </w:p>
    <w:p>
      <w:pPr>
        <w:pStyle w:val="Normal"/>
        <w:spacing w:lineRule="auto" w:line="276" w:before="57" w:after="57"/>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76" w:before="57" w:after="57"/>
        <w:ind w:hanging="0" w:left="0" w:right="0"/>
        <w:jc w:val="both"/>
        <w:rPr>
          <w:rFonts w:ascii="Verdana" w:hAnsi="Verdana"/>
          <w:sz w:val="20"/>
          <w:szCs w:val="20"/>
        </w:rPr>
      </w:pPr>
      <w:r>
        <w:rPr>
          <w:rFonts w:cs="Arial" w:ascii="Verdana" w:hAnsi="Verdana"/>
          <w:b/>
          <w:bCs/>
          <w:sz w:val="20"/>
          <w:szCs w:val="20"/>
        </w:rPr>
        <w:t>16. POSSÍVEIS IMPACTOS AMBIENTAIS</w:t>
      </w:r>
    </w:p>
    <w:p>
      <w:pPr>
        <w:pStyle w:val="Normal"/>
        <w:spacing w:lineRule="auto" w:line="276" w:before="57" w:after="57"/>
        <w:ind w:hanging="0" w:left="0" w:right="0"/>
        <w:jc w:val="both"/>
        <w:rPr>
          <w:rFonts w:ascii="Verdana" w:hAnsi="Verdana"/>
          <w:sz w:val="20"/>
          <w:szCs w:val="20"/>
        </w:rPr>
      </w:pPr>
      <w:r>
        <w:rPr>
          <w:rFonts w:ascii="Verdana" w:hAnsi="Verdana"/>
          <w:b w:val="false"/>
          <w:bCs w:val="false"/>
          <w:sz w:val="20"/>
          <w:szCs w:val="20"/>
        </w:rPr>
        <w:t>16.1. Não se verifica impactos ambientais da contratação.</w:t>
      </w:r>
    </w:p>
    <w:p>
      <w:pPr>
        <w:pStyle w:val="Normal"/>
        <w:spacing w:lineRule="auto" w:line="276" w:before="57" w:after="57"/>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76" w:before="57" w:after="57"/>
        <w:ind w:hanging="0" w:left="0" w:right="0"/>
        <w:jc w:val="both"/>
        <w:rPr>
          <w:rFonts w:ascii="Verdana" w:hAnsi="Verdana"/>
          <w:sz w:val="20"/>
          <w:szCs w:val="20"/>
        </w:rPr>
      </w:pPr>
      <w:r>
        <w:rPr>
          <w:rFonts w:cs="Arial" w:ascii="Verdana" w:hAnsi="Verdana"/>
          <w:b/>
          <w:bCs/>
          <w:sz w:val="20"/>
          <w:szCs w:val="20"/>
        </w:rPr>
        <w:t>17. DECLARAÇÕES DE VIABILIDADE</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17.1. Neste sentido, a equipe de planejamento deste ETP e de acordo com a autoridade deste requerente, declara viável esta contratação, com base nos elementos apresentados neste documento.</w:t>
      </w:r>
    </w:p>
    <w:p>
      <w:pPr>
        <w:pStyle w:val="Normal"/>
        <w:spacing w:lineRule="auto" w:line="276" w:before="57" w:after="57"/>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76" w:before="57" w:after="57"/>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76" w:before="57" w:after="57"/>
        <w:ind w:hanging="0" w:left="0" w:right="0"/>
        <w:jc w:val="both"/>
        <w:rPr>
          <w:rFonts w:ascii="Verdana" w:hAnsi="Verdana"/>
          <w:sz w:val="20"/>
          <w:szCs w:val="20"/>
        </w:rPr>
      </w:pPr>
      <w:r>
        <w:rPr>
          <w:rFonts w:cs="Arial" w:ascii="Verdana" w:hAnsi="Verdana"/>
          <w:b/>
          <w:bCs/>
          <w:sz w:val="20"/>
          <w:szCs w:val="20"/>
        </w:rPr>
        <w:t>18. JUSTIFICATIVAS DA VIABILIDADE</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sz w:val="20"/>
          <w:szCs w:val="20"/>
        </w:rPr>
        <w:t>18.1. Considerando que os serviços se constituem de aquisição de gêneros alimentícios por meio de pregão eletrônico, para atender as necessidades das Escolas da Rede Pública Municipal de São Gabriel da Palha, através do Programa Nacional de Alimentação Escolar.</w:t>
      </w:r>
    </w:p>
    <w:p>
      <w:pPr>
        <w:pStyle w:val="Normal"/>
        <w:spacing w:lineRule="auto" w:line="276" w:before="57" w:after="57"/>
        <w:ind w:hanging="0" w:left="0" w:right="0"/>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76" w:before="57" w:after="57"/>
        <w:ind w:hanging="0" w:left="0" w:right="0"/>
        <w:jc w:val="both"/>
        <w:rPr>
          <w:rFonts w:ascii="Verdana" w:hAnsi="Verdana"/>
          <w:sz w:val="20"/>
          <w:szCs w:val="20"/>
        </w:rPr>
      </w:pPr>
      <w:r>
        <w:rPr>
          <w:rFonts w:ascii="Verdana" w:hAnsi="Verdana"/>
          <w:b/>
          <w:bCs/>
          <w:sz w:val="20"/>
          <w:szCs w:val="20"/>
          <w:u w:val="none"/>
        </w:rPr>
        <w:t xml:space="preserve">19. ADEQUAÇÃO ORÇAMENTÁRIA </w:t>
      </w:r>
    </w:p>
    <w:p>
      <w:pPr>
        <w:pStyle w:val="Normal"/>
        <w:spacing w:lineRule="auto" w:line="276" w:before="57" w:after="57"/>
        <w:ind w:hanging="0" w:left="0" w:right="0"/>
        <w:jc w:val="both"/>
        <w:rPr>
          <w:rFonts w:ascii="Verdana" w:hAnsi="Verdana"/>
          <w:sz w:val="20"/>
          <w:szCs w:val="20"/>
        </w:rPr>
      </w:pPr>
      <w:r>
        <w:rPr>
          <w:rFonts w:ascii="Verdana" w:hAnsi="Verdana"/>
          <w:sz w:val="20"/>
          <w:szCs w:val="20"/>
          <w:u w:val="none"/>
        </w:rPr>
        <w:t>19.1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numPr>
          <w:ilvl w:val="0"/>
          <w:numId w:val="2"/>
        </w:numPr>
        <w:spacing w:lineRule="auto" w:line="276" w:before="57" w:after="57"/>
        <w:ind w:hanging="0" w:left="0" w:right="0"/>
        <w:jc w:val="both"/>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shd w:fill="auto" w:val="clear"/>
        </w:rPr>
        <w:t>FICHA – FONTE 00589</w:t>
      </w: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t>-</w:t>
      </w:r>
      <w:r>
        <w:rPr>
          <w:rFonts w:ascii="Verdana" w:hAnsi="Verdana"/>
          <w:b w:val="false"/>
          <w:bCs w:val="false"/>
          <w:i w:val="false"/>
          <w:iCs w:val="false"/>
          <w:strike w:val="false"/>
          <w:dstrike w:val="false"/>
          <w:outline w:val="false"/>
          <w:shadow w:val="false"/>
          <w:color w:val="000000"/>
          <w:sz w:val="20"/>
          <w:szCs w:val="20"/>
          <w:u w:val="none"/>
          <w:shd w:fill="auto" w:val="clear"/>
        </w:rPr>
        <w:t xml:space="preserve">15000025000000 o valor de </w:t>
      </w:r>
      <w:r>
        <w:rPr>
          <w:rFonts w:eastAsia="Times New Roman" w:cs="Arial" w:ascii="Verdana" w:hAnsi="Verdana"/>
          <w:b w:val="false"/>
          <w:bCs w:val="false"/>
          <w:i w:val="false"/>
          <w:iCs w:val="false"/>
          <w:strike w:val="false"/>
          <w:dstrike w:val="false"/>
          <w:outline w:val="false"/>
          <w:shadow w:val="false"/>
          <w:color w:val="000000"/>
          <w:kern w:val="0"/>
          <w:sz w:val="20"/>
          <w:szCs w:val="20"/>
          <w:u w:val="none"/>
          <w:shd w:fill="auto" w:val="clear"/>
          <w:lang w:val="pt-BR" w:eastAsia="en-US" w:bidi="ar-SA"/>
        </w:rPr>
        <w:t xml:space="preserve"> R$ 246.515,00 (duzentos e quarenta e seis mil quinhentos e quinze reais)</w:t>
      </w:r>
    </w:p>
    <w:p>
      <w:pPr>
        <w:pStyle w:val="Normal"/>
        <w:numPr>
          <w:ilvl w:val="0"/>
          <w:numId w:val="0"/>
        </w:numPr>
        <w:spacing w:lineRule="auto" w:line="276" w:before="57" w:after="57"/>
        <w:ind w:hanging="0" w:left="0" w:right="0"/>
        <w:jc w:val="both"/>
        <w:rPr>
          <w:rFonts w:ascii="Verdana" w:hAnsi="Verdana" w:eastAsia="Times New Roman" w:cs="Arial"/>
          <w:b w:val="false"/>
          <w:bCs w:val="false"/>
          <w:i w:val="false"/>
          <w:i w:val="false"/>
          <w:iCs w:val="false"/>
          <w:strike w:val="false"/>
          <w:dstrike w:val="false"/>
          <w:outline w:val="false"/>
          <w:shadow w:val="false"/>
          <w:color w:val="000000"/>
          <w:kern w:val="0"/>
          <w:sz w:val="20"/>
          <w:szCs w:val="20"/>
          <w:u w:val="none"/>
          <w:shd w:fill="auto" w:val="clear"/>
          <w:lang w:val="pt-BR" w:eastAsia="en-US" w:bidi="ar-SA"/>
        </w:rPr>
      </w:pPr>
      <w:r>
        <w:rPr>
          <w:rFonts w:eastAsia="Times New Roman" w:cs="Arial" w:ascii="Verdana" w:hAnsi="Verdana"/>
          <w:b w:val="false"/>
          <w:bCs w:val="false"/>
          <w:i w:val="false"/>
          <w:iCs w:val="false"/>
          <w:strike w:val="false"/>
          <w:dstrike w:val="false"/>
          <w:outline w:val="false"/>
          <w:shadow w:val="false"/>
          <w:color w:val="000000"/>
          <w:kern w:val="0"/>
          <w:sz w:val="20"/>
          <w:szCs w:val="20"/>
          <w:u w:val="none"/>
          <w:shd w:fill="auto" w:val="clear"/>
          <w:lang w:val="pt-BR" w:eastAsia="en-US" w:bidi="ar-SA"/>
        </w:rPr>
      </w:r>
    </w:p>
    <w:p>
      <w:pPr>
        <w:pStyle w:val="Normal"/>
        <w:spacing w:lineRule="auto" w:line="276" w:before="57" w:after="57"/>
        <w:ind w:hanging="0" w:left="0" w:right="0"/>
        <w:jc w:val="both"/>
        <w:rPr>
          <w:rFonts w:ascii="Verdana" w:hAnsi="Verdana"/>
          <w:sz w:val="20"/>
          <w:szCs w:val="20"/>
        </w:rPr>
      </w:pPr>
      <w:r>
        <w:rPr>
          <w:rFonts w:ascii="Verdana" w:hAnsi="Verdana"/>
          <w:b/>
          <w:bCs/>
          <w:sz w:val="20"/>
          <w:szCs w:val="20"/>
          <w:u w:val="none"/>
        </w:rPr>
        <w:t>20.</w:t>
      </w:r>
      <w:r>
        <w:rPr>
          <w:rFonts w:ascii="Verdana" w:hAnsi="Verdana"/>
          <w:sz w:val="20"/>
          <w:szCs w:val="20"/>
          <w:u w:val="none"/>
        </w:rPr>
        <w:t xml:space="preserve"> </w:t>
      </w:r>
      <w:r>
        <w:rPr>
          <w:rFonts w:cs="Arial" w:ascii="Verdana" w:hAnsi="Verdana"/>
          <w:b/>
          <w:bCs/>
          <w:color w:val="000000"/>
          <w:sz w:val="20"/>
          <w:szCs w:val="20"/>
          <w:u w:val="none"/>
        </w:rPr>
        <w:t>DOS RESPONSÁVEIS PELA ELABORAÇÃO DO TERMO DE REFERÊNCIA</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color w:val="000000"/>
          <w:sz w:val="20"/>
          <w:szCs w:val="20"/>
          <w:u w:val="none"/>
        </w:rPr>
        <w:t>20.1. A compilação de parte das informações mencionados na elaboração deste Termo de Referência foram estruturadas através do ETP – Estudo Técnico Preliminar elaborado pela secretaria requisitante.</w:t>
      </w:r>
    </w:p>
    <w:p>
      <w:pPr>
        <w:pStyle w:val="Normal"/>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bookmarkStart w:id="9" w:name="_GoBack1111"/>
      <w:bookmarkStart w:id="10" w:name="_GoBack1112"/>
      <w:bookmarkStart w:id="11" w:name="_GoBack1111"/>
      <w:bookmarkStart w:id="12" w:name="_GoBack1112"/>
      <w:bookmarkEnd w:id="11"/>
      <w:bookmarkEnd w:id="12"/>
    </w:p>
    <w:p>
      <w:pPr>
        <w:pStyle w:val="Normal"/>
        <w:spacing w:lineRule="auto" w:line="276" w:before="57" w:after="57"/>
        <w:ind w:hanging="0" w:left="0" w:right="0"/>
        <w:jc w:val="right"/>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right="0"/>
        <w:jc w:val="right"/>
        <w:rPr>
          <w:rFonts w:ascii="Verdana" w:hAnsi="Verdana"/>
          <w:sz w:val="20"/>
          <w:szCs w:val="20"/>
        </w:rPr>
      </w:pPr>
      <w:r>
        <w:rPr>
          <w:rFonts w:ascii="Verdana" w:hAnsi="Verdana"/>
          <w:sz w:val="20"/>
          <w:szCs w:val="20"/>
        </w:rPr>
        <w:t xml:space="preserve">São Gabriel da Palha, 19 de setembro de 2024 </w:t>
      </w:r>
    </w:p>
    <w:p>
      <w:pPr>
        <w:pStyle w:val="Normal"/>
        <w:spacing w:lineRule="auto" w:line="276" w:before="57" w:after="57"/>
        <w:ind w:hanging="0" w:left="0" w:right="0"/>
        <w:jc w:val="right"/>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right="0"/>
        <w:jc w:val="both"/>
        <w:rPr>
          <w:rFonts w:ascii="Verdana" w:hAnsi="Verdana"/>
          <w:sz w:val="20"/>
          <w:szCs w:val="20"/>
        </w:rPr>
      </w:pPr>
      <w:r>
        <w:rPr>
          <w:rFonts w:cs="Arial" w:ascii="Verdana" w:hAnsi="Verdana"/>
          <w:b/>
          <w:bCs/>
          <w:sz w:val="20"/>
          <w:szCs w:val="20"/>
        </w:rPr>
        <w:t>Elaborado por:</w:t>
      </w:r>
    </w:p>
    <w:p>
      <w:pPr>
        <w:pStyle w:val="Normal"/>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right="0"/>
        <w:jc w:val="both"/>
        <w:rPr>
          <w:rFonts w:ascii="Verdana" w:hAnsi="Verdana"/>
          <w:sz w:val="20"/>
          <w:szCs w:val="20"/>
        </w:rPr>
      </w:pPr>
      <w:r>
        <w:rPr>
          <w:rFonts w:ascii="Verdana" w:hAnsi="Verdana"/>
          <w:b w:val="false"/>
          <w:bCs w:val="false"/>
          <w:sz w:val="20"/>
          <w:szCs w:val="20"/>
        </w:rPr>
        <w:t>RODOLFO ANTÔNIO DA SILVA NETO</w:t>
      </w:r>
    </w:p>
    <w:p>
      <w:pPr>
        <w:pStyle w:val="Normal"/>
        <w:spacing w:lineRule="auto" w:line="276" w:before="57" w:after="57"/>
        <w:ind w:hanging="0" w:left="0" w:right="0"/>
        <w:jc w:val="both"/>
        <w:rPr>
          <w:rFonts w:ascii="Verdana" w:hAnsi="Verdana"/>
          <w:sz w:val="20"/>
          <w:szCs w:val="20"/>
        </w:rPr>
      </w:pPr>
      <w:r>
        <w:rPr>
          <w:rFonts w:ascii="Verdana" w:hAnsi="Verdana"/>
          <w:b w:val="false"/>
          <w:bCs w:val="false"/>
          <w:sz w:val="20"/>
          <w:szCs w:val="20"/>
        </w:rPr>
        <w:t>Auxiliar Administrativo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color w:val="000000"/>
          <w:sz w:val="20"/>
          <w:szCs w:val="20"/>
        </w:rPr>
        <w:t>Mat. nº 000406</w:t>
      </w:r>
    </w:p>
    <w:p>
      <w:pPr>
        <w:pStyle w:val="Normal"/>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right="0"/>
        <w:jc w:val="both"/>
        <w:rPr>
          <w:rFonts w:ascii="Verdana" w:hAnsi="Verdana"/>
          <w:sz w:val="20"/>
          <w:szCs w:val="20"/>
        </w:rPr>
      </w:pPr>
      <w:r>
        <w:rPr>
          <w:rFonts w:cs="Arial" w:ascii="Verdana" w:hAnsi="Verdana"/>
          <w:sz w:val="20"/>
          <w:szCs w:val="20"/>
        </w:rPr>
        <w:t>RUTH BARBARA DA SILWA NASCIMENTO</w:t>
      </w:r>
    </w:p>
    <w:p>
      <w:pPr>
        <w:pStyle w:val="Normal"/>
        <w:spacing w:lineRule="auto" w:line="276" w:before="57" w:after="57"/>
        <w:ind w:hanging="0" w:left="0" w:right="0"/>
        <w:jc w:val="both"/>
        <w:rPr>
          <w:rFonts w:ascii="Verdana" w:hAnsi="Verdana"/>
          <w:sz w:val="20"/>
          <w:szCs w:val="20"/>
        </w:rPr>
      </w:pPr>
      <w:r>
        <w:rPr>
          <w:rFonts w:cs="Arial" w:ascii="Verdana" w:hAnsi="Verdana"/>
          <w:sz w:val="20"/>
          <w:szCs w:val="20"/>
        </w:rPr>
        <w:t>Assistente Administrativo</w:t>
      </w:r>
    </w:p>
    <w:p>
      <w:pPr>
        <w:pStyle w:val="Normal"/>
        <w:tabs>
          <w:tab w:val="clear" w:pos="708"/>
          <w:tab w:val="left" w:pos="300" w:leader="none"/>
        </w:tabs>
        <w:spacing w:lineRule="auto" w:line="276" w:before="57" w:after="57"/>
        <w:ind w:hanging="0" w:left="0" w:right="0"/>
        <w:jc w:val="both"/>
        <w:rPr/>
      </w:pPr>
      <w:hyperlink r:id="rId10">
        <w:bookmarkStart w:id="13" w:name="page66R_mcid1311_Copia_1"/>
        <w:bookmarkEnd w:id="13"/>
        <w:r>
          <w:rPr>
            <w:rStyle w:val="ListLabel34"/>
            <w:rFonts w:eastAsia="Times New Roman"/>
          </w:rPr>
          <w:t>Mat. nº 002983</w:t>
        </w:r>
      </w:hyperlink>
    </w:p>
    <w:p>
      <w:pPr>
        <w:pStyle w:val="Normal"/>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right="0"/>
        <w:jc w:val="both"/>
        <w:rPr>
          <w:rFonts w:ascii="Verdana" w:hAnsi="Verdana"/>
          <w:b/>
          <w:bCs/>
          <w:sz w:val="20"/>
          <w:szCs w:val="20"/>
        </w:rPr>
      </w:pPr>
      <w:r>
        <w:rPr>
          <w:rFonts w:ascii="Verdana" w:hAnsi="Verdana"/>
          <w:b/>
          <w:bCs/>
          <w:sz w:val="20"/>
          <w:szCs w:val="20"/>
        </w:rPr>
      </w:r>
      <w:bookmarkStart w:id="14" w:name="art122%25252525252525252525252525C2%2525"/>
      <w:bookmarkStart w:id="15" w:name="art122%25252525252525252525252525C2%2525"/>
      <w:bookmarkEnd w:id="0"/>
      <w:bookmarkEnd w:id="1"/>
      <w:bookmarkEnd w:id="15"/>
    </w:p>
    <w:sectPr>
      <w:headerReference w:type="even" r:id="rId11"/>
      <w:headerReference w:type="default" r:id="rId12"/>
      <w:headerReference w:type="first" r:id="rId13"/>
      <w:footerReference w:type="even" r:id="rId14"/>
      <w:footerReference w:type="default" r:id="rId15"/>
      <w:footerReference w:type="first" r:id="rId16"/>
      <w:type w:val="nextPage"/>
      <w:pgSz w:w="11906" w:h="16838"/>
      <w:pgMar w:left="1500" w:right="905" w:gutter="0" w:header="227" w:top="851" w:footer="421" w:bottom="863"/>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Verdana">
    <w:charset w:val="01"/>
    <w:family w:val="swiss"/>
    <w:pitch w:val="variable"/>
  </w:font>
  <w:font w:name="Verdana">
    <w:charset w:val="00"/>
    <w:family w:val="roman"/>
    <w:pitch w:val="variable"/>
  </w:font>
  <w:font w:name="Arial Narrow">
    <w:charset w:val="00"/>
    <w:family w:val="roman"/>
    <w:pitch w:val="variable"/>
  </w:font>
  <w:font w:name="Tahoma">
    <w:charset w:val="00"/>
    <w:family w:val="roman"/>
    <w:pitch w:val="variable"/>
  </w:font>
  <w:font w:name="Wingdings">
    <w:charset w:val="02"/>
    <w:family w:val="auto"/>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360"/>
      <w:ind w:hanging="0" w:left="-79" w:right="0"/>
      <w:jc w:val="both"/>
      <w:rPr/>
    </w:pPr>
    <w:r>
      <w:rPr/>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4"/>
        <w:szCs w:val="24"/>
      </w:rPr>
    </w:pPr>
    <w:r>
      <w:rPr>
        <w:rFonts w:ascii="Arial Narrow" w:hAnsi="Arial Narrow"/>
        <w:b/>
        <w:sz w:val="24"/>
        <w:szCs w:val="24"/>
      </w:rPr>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360"/>
      <w:ind w:hanging="0" w:left="-79" w:right="0"/>
      <w:jc w:val="both"/>
      <w:rPr/>
    </w:pPr>
    <w:r>
      <w:rPr/>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4"/>
        <w:szCs w:val="24"/>
      </w:rPr>
    </w:pPr>
    <w:r>
      <w:rPr>
        <w:rFonts w:ascii="Arial Narrow" w:hAnsi="Arial Narrow"/>
        <w:b/>
        <w:sz w:val="24"/>
        <w:szCs w:val="24"/>
      </w:rPr>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8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qFormat/>
    <w:pPr>
      <w:keepNext w:val="true"/>
      <w:keepLines/>
      <w:spacing w:before="480" w:after="0"/>
      <w:outlineLvl w:val="0"/>
    </w:pPr>
    <w:rPr>
      <w:rFonts w:ascii="Cambria" w:hAnsi="Cambria" w:eastAsia="Calibri" w:cs="Tahoma"/>
      <w:b/>
      <w:bCs/>
      <w:color w:themeColor="accent1" w:themeShade="bf" w:val="365F91"/>
      <w:sz w:val="28"/>
      <w:szCs w:val="28"/>
    </w:rPr>
  </w:style>
  <w:style w:type="paragraph" w:styleId="Heading4">
    <w:name w:val="Heading 4"/>
    <w:basedOn w:val="Ttulo"/>
    <w:next w:val="BodyText"/>
    <w:qFormat/>
    <w:pPr>
      <w:numPr>
        <w:ilvl w:val="3"/>
        <w:numId w:val="1"/>
      </w:numPr>
      <w:spacing w:before="120" w:after="120"/>
      <w:outlineLvl w:val="3"/>
    </w:pPr>
    <w:rPr>
      <w:b/>
      <w:bCs/>
      <w:i/>
      <w:iCs/>
      <w:sz w:val="26"/>
      <w:szCs w:val="26"/>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InternetLink">
    <w:name w:val="Internet Link"/>
    <w:qFormat/>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themeColor="accent1" w:themeShade="bf" w:val="365F91"/>
      <w:sz w:val="28"/>
      <w:szCs w:val="28"/>
      <w:lang w:eastAsia="pt-BR"/>
    </w:rPr>
  </w:style>
  <w:style w:type="character" w:styleId="Marcadores">
    <w:name w:val="Marcadores"/>
    <w:qFormat/>
    <w:rPr>
      <w:rFonts w:ascii="OpenSymbol" w:hAnsi="OpenSymbol" w:eastAsia="OpenSymbol" w:cs="OpenSymbol"/>
    </w:rPr>
  </w:style>
  <w:style w:type="character" w:styleId="FollowedHyperlink">
    <w:name w:val="FollowedHyperlink"/>
    <w:rPr>
      <w:color w:val="8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hanging="0" w:left="720"/>
      <w:contextualSpacing/>
    </w:pPr>
    <w:rPr/>
  </w:style>
  <w:style w:type="paragraph" w:styleId="Tabelanormal1">
    <w:name w:val="Tabela normal1"/>
    <w:qFormat/>
    <w:pPr>
      <w:widowControl/>
      <w:suppressAutoHyphens w:val="true"/>
      <w:overflowPunct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Heading1"/>
    <w:next w:val="Normal"/>
    <w:link w:val="Nivel1Char"/>
    <w:qFormat/>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name w:val="Standard"/>
    <w:qFormat/>
    <w:pPr>
      <w:widowControl/>
      <w:suppressAutoHyphens w:val="true"/>
      <w:overflowPunct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caption2">
    <w:name w:val="caption2"/>
    <w:basedOn w:val="Normal"/>
    <w:qFormat/>
    <w:pPr>
      <w:suppressLineNumbers/>
      <w:spacing w:before="120" w:after="120"/>
    </w:pPr>
    <w:rPr>
      <w:rFonts w:cs="Lucida Sans"/>
      <w:i/>
      <w:iCs/>
      <w:szCs w:val="24"/>
    </w:rPr>
  </w:style>
  <w:style w:type="paragraph" w:styleId="caption3">
    <w:name w:val="caption3"/>
    <w:basedOn w:val="Normal"/>
    <w:qFormat/>
    <w:pPr>
      <w:suppressLineNumbers/>
      <w:spacing w:before="120" w:after="120"/>
    </w:pPr>
    <w:rPr>
      <w:rFonts w:cs="Lucida Sans"/>
      <w:i/>
      <w:iCs/>
      <w:szCs w:val="24"/>
    </w:rPr>
  </w:style>
  <w:style w:type="numbering" w:styleId="Semlista">
    <w:name w:val="Sem lista"/>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ernet.sefaz.es.gov.br/" TargetMode="External"/><Relationship Id="rId3" Type="http://schemas.openxmlformats.org/officeDocument/2006/relationships/hyperlink" Target="http://www.tst.jus.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s://www.planalto.gov.br/ccivil_03/leis/lcp/lcp123.htm" TargetMode="Externa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oter" Target="footer3.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828</TotalTime>
  <Application>LibreOffice/24.2.6.2$Windows_X86_64 LibreOffice_project/ef66aa7e36a1bb8e65bfbc63aba53045a14d0871</Application>
  <AppVersion>15.0000</AppVersion>
  <Pages>13</Pages>
  <Words>5015</Words>
  <Characters>29260</Characters>
  <CharactersWithSpaces>34072</CharactersWithSpaces>
  <Paragraphs>259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2024-09-26T17:12:41Z</cp:lastPrinted>
  <dcterms:modified xsi:type="dcterms:W3CDTF">2024-09-26T17:12:43Z</dcterms:modified>
  <cp:revision>132</cp:revision>
  <dc:subject/>
  <dc:title/>
</cp:coreProperties>
</file>

<file path=docProps/custom.xml><?xml version="1.0" encoding="utf-8"?>
<Properties xmlns="http://schemas.openxmlformats.org/officeDocument/2006/custom-properties" xmlns:vt="http://schemas.openxmlformats.org/officeDocument/2006/docPropsVTypes"/>
</file>